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C" w:rsidRDefault="001133EC">
      <w:pPr>
        <w:spacing w:line="1" w:lineRule="exact"/>
      </w:pPr>
    </w:p>
    <w:p w:rsidR="001133EC" w:rsidRDefault="00B5399F">
      <w:pPr>
        <w:spacing w:line="1" w:lineRule="exact"/>
      </w:pPr>
      <w:r>
        <w:br w:type="page"/>
      </w:r>
    </w:p>
    <w:p w:rsidR="001133EC" w:rsidRDefault="00B5399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0480" distB="3588385" distL="0" distR="0" simplePos="0" relativeHeight="125829389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30480</wp:posOffset>
                </wp:positionV>
                <wp:extent cx="3090545" cy="9417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941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3EC" w:rsidRDefault="00B5399F">
                            <w:pPr>
                              <w:pStyle w:val="20"/>
                              <w:spacing w:line="254" w:lineRule="auto"/>
                              <w:jc w:val="right"/>
                            </w:pPr>
                            <w:r>
                              <w:t xml:space="preserve">«УТВЕРЖДАЮ» Первый заместитель председателя Комитета </w:t>
                            </w:r>
                            <w:r>
                              <w:t xml:space="preserve">Государственной Думы по </w:t>
                            </w:r>
                            <w:proofErr w:type="spellStart"/>
                            <w:r>
                              <w:t>деративному</w:t>
                            </w:r>
                            <w:proofErr w:type="spellEnd"/>
                            <w:r>
                              <w:t xml:space="preserve"> устройству и в$ сам местного самоуправления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4.850000000000001pt;margin-top:2.3999999999999999pt;width:243.34999999999999pt;height:74.150000000000006pt;z-index:-125829364;mso-wrap-distance-left:0;mso-wrap-distance-top:2.3999999999999999pt;mso-wrap-distance-right:0;mso-wrap-distance-bottom:282.55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«УТВЕРЖДАЮ» Первый заместитель председателя Комитета Государственной Думы по деративному устройству и в$ сам местного самоуправления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55320" distB="2899410" distL="0" distR="0" simplePos="0" relativeHeight="125829391" behindDoc="0" locked="0" layoutInCell="1" allowOverlap="1">
            <wp:simplePos x="0" y="0"/>
            <wp:positionH relativeFrom="page">
              <wp:posOffset>1109345</wp:posOffset>
            </wp:positionH>
            <wp:positionV relativeFrom="paragraph">
              <wp:posOffset>655320</wp:posOffset>
            </wp:positionV>
            <wp:extent cx="810895" cy="100584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08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05130" distB="3792855" distL="0" distR="0" simplePos="0" relativeHeight="125829392" behindDoc="0" locked="0" layoutInCell="1" allowOverlap="1">
            <wp:simplePos x="0" y="0"/>
            <wp:positionH relativeFrom="page">
              <wp:posOffset>2090420</wp:posOffset>
            </wp:positionH>
            <wp:positionV relativeFrom="paragraph">
              <wp:posOffset>405130</wp:posOffset>
            </wp:positionV>
            <wp:extent cx="664210" cy="36576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42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74065" distB="2887345" distL="0" distR="1161415" simplePos="0" relativeHeight="125829393" behindDoc="0" locked="0" layoutInCell="1" allowOverlap="1">
            <wp:simplePos x="0" y="0"/>
            <wp:positionH relativeFrom="page">
              <wp:posOffset>1868170</wp:posOffset>
            </wp:positionH>
            <wp:positionV relativeFrom="paragraph">
              <wp:posOffset>774065</wp:posOffset>
            </wp:positionV>
            <wp:extent cx="628015" cy="90233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280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1136650</wp:posOffset>
                </wp:positionV>
                <wp:extent cx="981710" cy="18923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3EC" w:rsidRDefault="00B5399F">
                            <w:pPr>
                              <w:pStyle w:val="a5"/>
                            </w:pPr>
                            <w:r>
                              <w:t>И.В. САПКО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210.70000000000002pt;margin-top:89.5pt;width:77.299999999999997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И.В. САПКО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04920" distL="0" distR="0" simplePos="0" relativeHeight="12582939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0</wp:posOffset>
                </wp:positionV>
                <wp:extent cx="3298190" cy="7556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3EC" w:rsidRDefault="00B5399F">
                            <w:pPr>
                              <w:pStyle w:val="20"/>
                              <w:spacing w:line="257" w:lineRule="auto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1133EC" w:rsidRDefault="00B5399F">
                            <w:pPr>
                              <w:pStyle w:val="20"/>
                              <w:spacing w:line="257" w:lineRule="auto"/>
                              <w:ind w:left="460"/>
                              <w:jc w:val="right"/>
                            </w:pPr>
                            <w:r>
                              <w:t>Председатель Совета Директоров Автономной некоммерческой организации «Институт развития местных сообществ»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297.35000000000002pt;margin-top:0;width:259.69999999999999pt;height:59.5pt;z-index:-125829359;mso-wrap-distance-left:0;mso-wrap-distance-right:0;mso-wrap-distance-bottom:299.6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«УТВЕРЖДАЮ»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46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Председатель Совета Директоров Автономной некоммерческой организации «Институт развития местных сообществ»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877695" distB="927100" distL="39370" distR="12065" simplePos="0" relativeHeight="125829396" behindDoc="0" locked="0" layoutInCell="1" allowOverlap="1">
            <wp:simplePos x="0" y="0"/>
            <wp:positionH relativeFrom="page">
              <wp:posOffset>3815715</wp:posOffset>
            </wp:positionH>
            <wp:positionV relativeFrom="paragraph">
              <wp:posOffset>1877695</wp:posOffset>
            </wp:positionV>
            <wp:extent cx="3249295" cy="175577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24929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1146175</wp:posOffset>
                </wp:positionV>
                <wp:extent cx="3298190" cy="36258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3EC" w:rsidRDefault="00B5399F">
                            <w:pPr>
                              <w:pStyle w:val="a5"/>
                              <w:spacing w:after="80" w:line="257" w:lineRule="auto"/>
                              <w:jc w:val="right"/>
                            </w:pPr>
                            <w:r>
                              <w:t>СВ. КОЧНЕВ</w:t>
                            </w:r>
                          </w:p>
                          <w:p w:rsidR="001133EC" w:rsidRDefault="00B5399F">
                            <w:pPr>
                              <w:pStyle w:val="a5"/>
                              <w:tabs>
                                <w:tab w:val="left" w:leader="dot" w:pos="3595"/>
                                <w:tab w:val="left" w:leader="dot" w:pos="4248"/>
                                <w:tab w:val="left" w:leader="dot" w:pos="5098"/>
                              </w:tabs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 xml:space="preserve">« »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5"/>
                                <w:szCs w:val="15"/>
                                <w:u w:val="single"/>
                              </w:rPr>
                              <w:t xml:space="preserve"> „ ■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297.35000000000002pt;margin-top:90.25pt;width:259.69999999999999pt;height:28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57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СВ. КОЧНЕВ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595" w:val="left"/>
                          <w:tab w:leader="dot" w:pos="4248" w:val="left"/>
                          <w:tab w:leader="dot" w:pos="50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« »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</w:rPr>
                        <w:t xml:space="preserve"> „ ■</w:t>
                        <w:tab/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ab/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5681345</wp:posOffset>
                </wp:positionH>
                <wp:positionV relativeFrom="paragraph">
                  <wp:posOffset>1664335</wp:posOffset>
                </wp:positionV>
                <wp:extent cx="1393190" cy="18923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3EC" w:rsidRDefault="00B5399F">
                            <w:pPr>
                              <w:pStyle w:val="a5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«СОГЛАСОВАНО»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447.35000000000002pt;margin-top:131.05000000000001pt;width:109.7pt;height:14.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«СОГЛАСОВАНО»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33EC" w:rsidRDefault="00B5399F">
      <w:pPr>
        <w:pStyle w:val="20"/>
        <w:spacing w:after="100" w:line="288" w:lineRule="auto"/>
      </w:pPr>
      <w:r>
        <w:rPr>
          <w:b/>
          <w:bCs/>
        </w:rPr>
        <w:t>ПОЛОЖЕНИЕ</w:t>
      </w:r>
    </w:p>
    <w:p w:rsidR="001133EC" w:rsidRDefault="00B5399F">
      <w:pPr>
        <w:pStyle w:val="20"/>
        <w:spacing w:after="100" w:line="288" w:lineRule="auto"/>
      </w:pPr>
      <w:r>
        <w:t>о проведении Всероссийского Конкурса</w:t>
      </w:r>
      <w:r>
        <w:br/>
        <w:t>среди образовательных организаций Российской Федерации</w:t>
      </w:r>
    </w:p>
    <w:p w:rsidR="001133EC" w:rsidRDefault="00B5399F">
      <w:pPr>
        <w:pStyle w:val="20"/>
        <w:spacing w:after="4160" w:line="288" w:lineRule="auto"/>
      </w:pPr>
      <w:r>
        <w:rPr>
          <w:b/>
          <w:bCs/>
        </w:rPr>
        <w:t>«ИСТОРИЯ МЕСТНОГО САМОУПРАВЛЕНИЯ МОЕГО КРАЯ»</w:t>
      </w:r>
      <w:r>
        <w:rPr>
          <w:b/>
          <w:bCs/>
        </w:rPr>
        <w:br/>
      </w:r>
      <w:r>
        <w:t>направленного на выявление, сопровождение и поддержку талантливых</w:t>
      </w:r>
      <w:r>
        <w:br/>
        <w:t>молодых граждан, активно уча</w:t>
      </w:r>
      <w:r>
        <w:t>ствующих в изучении и сохранении истории,</w:t>
      </w:r>
      <w:r>
        <w:br/>
        <w:t>развитии и осуществлении местного самоуправления родного края</w:t>
      </w:r>
    </w:p>
    <w:p w:rsidR="001133EC" w:rsidRDefault="00B5399F">
      <w:pPr>
        <w:pStyle w:val="20"/>
        <w:sectPr w:rsidR="001133EC">
          <w:pgSz w:w="11900" w:h="16840"/>
          <w:pgMar w:top="355" w:right="759" w:bottom="1429" w:left="897" w:header="0" w:footer="10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Москва</w:t>
      </w:r>
      <w:r>
        <w:rPr>
          <w:b/>
          <w:bCs/>
        </w:rPr>
        <w:br/>
        <w:t>2021 г.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322"/>
        </w:tabs>
        <w:spacing w:after="380" w:line="240" w:lineRule="auto"/>
      </w:pPr>
      <w:bookmarkStart w:id="0" w:name="bookmark17"/>
      <w:bookmarkStart w:id="1" w:name="bookmark15"/>
      <w:bookmarkStart w:id="2" w:name="bookmark16"/>
      <w:bookmarkStart w:id="3" w:name="bookmark18"/>
      <w:bookmarkEnd w:id="0"/>
      <w:r>
        <w:lastRenderedPageBreak/>
        <w:t>ОБЩИЕ ПОЛОЖЕНИЯ</w:t>
      </w:r>
      <w:bookmarkEnd w:id="1"/>
      <w:bookmarkEnd w:id="2"/>
      <w:bookmarkEnd w:id="3"/>
    </w:p>
    <w:p w:rsidR="001133EC" w:rsidRDefault="00B5399F">
      <w:pPr>
        <w:pStyle w:val="1"/>
        <w:numPr>
          <w:ilvl w:val="1"/>
          <w:numId w:val="1"/>
        </w:numPr>
        <w:tabs>
          <w:tab w:val="left" w:pos="1481"/>
        </w:tabs>
        <w:ind w:left="200" w:firstLine="740"/>
        <w:jc w:val="both"/>
      </w:pPr>
      <w:bookmarkStart w:id="4" w:name="bookmark19"/>
      <w:bookmarkEnd w:id="4"/>
      <w:r>
        <w:t xml:space="preserve">Настоящее Положение определяет цели и задачи, порядок организации проведения, требования к </w:t>
      </w:r>
      <w:r>
        <w:t>участникам, содержание, порядок определения победителей Всероссийского Конкурса «История местного самоуправления моего края» (далее - Конкурс) среди учащихся образовательных учреждений.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449"/>
        </w:tabs>
        <w:ind w:left="200" w:firstLine="740"/>
        <w:jc w:val="both"/>
      </w:pPr>
      <w:bookmarkStart w:id="5" w:name="bookmark20"/>
      <w:bookmarkEnd w:id="5"/>
      <w:r>
        <w:t>Организаторами Конкурса являются Комитет Государственной Думы по федер</w:t>
      </w:r>
      <w:r>
        <w:t>ативному устройству и вопросам местного самоуправления, Министерство просвещения Российской Федерации, Автономная некоммерческая организация «Институт развития местных сообществ», Общественная палата Российской Федерации, Федеральное государственное бюджет</w:t>
      </w:r>
      <w:r>
        <w:t>ное учреждение науки «Институт российской истории Российской академии наук».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481"/>
        </w:tabs>
        <w:ind w:left="200" w:firstLine="740"/>
        <w:jc w:val="both"/>
      </w:pPr>
      <w:bookmarkStart w:id="6" w:name="bookmark21"/>
      <w:bookmarkEnd w:id="6"/>
      <w:r>
        <w:t>Участниками Конкурса являются молодые граждане в возрастной категории от 12 до 17 лет и молодые граждане от 18 до 25 лет.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449"/>
        </w:tabs>
        <w:ind w:left="200" w:firstLine="740"/>
        <w:jc w:val="both"/>
      </w:pPr>
      <w:bookmarkStart w:id="7" w:name="bookmark22"/>
      <w:bookmarkEnd w:id="7"/>
      <w:r>
        <w:t>Рабочим языком Конкурса является русский язык - государст</w:t>
      </w:r>
      <w:r>
        <w:t>венный язык Российской Федерации.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449"/>
        </w:tabs>
        <w:spacing w:after="240"/>
        <w:ind w:firstLine="920"/>
        <w:jc w:val="both"/>
      </w:pPr>
      <w:bookmarkStart w:id="8" w:name="bookmark23"/>
      <w:bookmarkEnd w:id="8"/>
      <w:r>
        <w:t>Участие в Конкурсе добровольное и бесплатное.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327"/>
        </w:tabs>
      </w:pPr>
      <w:bookmarkStart w:id="9" w:name="bookmark26"/>
      <w:bookmarkStart w:id="10" w:name="bookmark24"/>
      <w:bookmarkStart w:id="11" w:name="bookmark25"/>
      <w:bookmarkStart w:id="12" w:name="bookmark27"/>
      <w:bookmarkEnd w:id="9"/>
      <w:r>
        <w:t>ЦЕЛИ И ЗАДАЧИ ПРОВЕДЕНИЯ КОНКУРСА</w:t>
      </w:r>
      <w:bookmarkEnd w:id="10"/>
      <w:bookmarkEnd w:id="11"/>
      <w:bookmarkEnd w:id="12"/>
    </w:p>
    <w:p w:rsidR="001133EC" w:rsidRDefault="00B5399F">
      <w:pPr>
        <w:pStyle w:val="1"/>
        <w:numPr>
          <w:ilvl w:val="1"/>
          <w:numId w:val="1"/>
        </w:numPr>
        <w:tabs>
          <w:tab w:val="left" w:pos="1481"/>
        </w:tabs>
        <w:ind w:left="200" w:firstLine="740"/>
        <w:jc w:val="both"/>
      </w:pPr>
      <w:bookmarkStart w:id="13" w:name="bookmark28"/>
      <w:bookmarkEnd w:id="13"/>
      <w:r>
        <w:t xml:space="preserve">Конкурс направлен на выявление, сопровождение и поддержку талантливых молодых граждан, активно участвующих в изучении и сохранении истории, </w:t>
      </w:r>
      <w:r>
        <w:t>развитии и осуществлении местного самоуправления родного края. Конкурс приурочен к государственному Дню местного самоуправления в Российской Федерации, отмечаемому в соответствии с Указом Президента Российской Федерации от 10 июня 2012 года № 805 «О Дне ме</w:t>
      </w:r>
      <w:r>
        <w:t>стного самоуправления».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439"/>
        </w:tabs>
        <w:spacing w:after="120"/>
        <w:ind w:left="200" w:firstLine="740"/>
        <w:jc w:val="both"/>
        <w:sectPr w:rsidR="001133EC">
          <w:footerReference w:type="default" r:id="rId12"/>
          <w:pgSz w:w="11900" w:h="16840"/>
          <w:pgMar w:top="355" w:right="759" w:bottom="1429" w:left="897" w:header="0" w:footer="3" w:gutter="0"/>
          <w:pgNumType w:start="2"/>
          <w:cols w:space="720"/>
          <w:noEndnote/>
          <w:docGrid w:linePitch="360"/>
        </w:sectPr>
      </w:pPr>
      <w:bookmarkStart w:id="14" w:name="bookmark29"/>
      <w:bookmarkEnd w:id="14"/>
      <w:r>
        <w:t>Конкурс проводится с целью формирования у молодых граждан социально-значимых ценностей, взглядов и убежде</w:t>
      </w:r>
      <w:r>
        <w:t>ний, уважения к историк</w:t>
      </w:r>
      <w:proofErr w:type="gramStart"/>
      <w:r>
        <w:t>о-</w:t>
      </w:r>
      <w:proofErr w:type="gramEnd"/>
    </w:p>
    <w:p w:rsidR="001133EC" w:rsidRDefault="00B5399F">
      <w:pPr>
        <w:pStyle w:val="1"/>
        <w:ind w:firstLine="220"/>
        <w:jc w:val="both"/>
      </w:pPr>
      <w:r>
        <w:lastRenderedPageBreak/>
        <w:t>культурному наследию своей страны, своего края, своего города.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23"/>
        </w:tabs>
        <w:ind w:firstLine="920"/>
        <w:jc w:val="both"/>
      </w:pPr>
      <w:bookmarkStart w:id="15" w:name="bookmark30"/>
      <w:bookmarkEnd w:id="15"/>
      <w:r>
        <w:t>Задачи Конкурса: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65"/>
        </w:tabs>
        <w:ind w:left="220" w:firstLine="720"/>
        <w:jc w:val="both"/>
      </w:pPr>
      <w:bookmarkStart w:id="16" w:name="bookmark31"/>
      <w:bookmarkEnd w:id="16"/>
      <w:r>
        <w:t xml:space="preserve">стимулирование, развитие и популяризация различных форм </w:t>
      </w:r>
      <w:proofErr w:type="spellStart"/>
      <w:r>
        <w:t>историко</w:t>
      </w:r>
      <w:r>
        <w:softHyphen/>
        <w:t>краеведческой</w:t>
      </w:r>
      <w:proofErr w:type="spellEnd"/>
      <w:r>
        <w:t xml:space="preserve"> деятельности;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60"/>
        </w:tabs>
        <w:ind w:left="220" w:firstLine="720"/>
        <w:jc w:val="both"/>
      </w:pPr>
      <w:bookmarkStart w:id="17" w:name="bookmark32"/>
      <w:bookmarkEnd w:id="17"/>
      <w:r>
        <w:t xml:space="preserve">развитие и расширение учебно-исследовательской </w:t>
      </w: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 в области краеведения;</w:t>
      </w:r>
    </w:p>
    <w:p w:rsidR="001133EC" w:rsidRDefault="00650C61">
      <w:pPr>
        <w:pStyle w:val="1"/>
        <w:numPr>
          <w:ilvl w:val="0"/>
          <w:numId w:val="2"/>
        </w:numPr>
        <w:tabs>
          <w:tab w:val="left" w:pos="1260"/>
        </w:tabs>
        <w:ind w:left="220" w:firstLine="720"/>
        <w:jc w:val="both"/>
      </w:pPr>
      <w:bookmarkStart w:id="18" w:name="bookmark33"/>
      <w:bookmarkEnd w:id="18"/>
      <w:r>
        <w:t>выявление, сопровождение и под</w:t>
      </w:r>
      <w:r w:rsidR="00B5399F">
        <w:t>держка талантливых молодых граждан, активно участвующих в изучении и сохранении истории, развитии и осуществлении местного самоуправления родного края;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70"/>
        </w:tabs>
        <w:ind w:left="220" w:firstLine="720"/>
        <w:jc w:val="both"/>
      </w:pPr>
      <w:bookmarkStart w:id="19" w:name="bookmark34"/>
      <w:bookmarkEnd w:id="19"/>
      <w:r>
        <w:t>включение молодых граждан</w:t>
      </w:r>
      <w:r>
        <w:t xml:space="preserve"> в процессы участия в развитии местного самоуправления своего края;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65"/>
        </w:tabs>
        <w:ind w:left="220" w:firstLine="720"/>
        <w:jc w:val="both"/>
      </w:pPr>
      <w:bookmarkStart w:id="20" w:name="bookmark35"/>
      <w:bookmarkEnd w:id="20"/>
      <w:r>
        <w:t>изучение (обращение к истории своего края) истории местного самоуправления в муниципальных образованиях;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70"/>
        </w:tabs>
        <w:ind w:left="220" w:firstLine="720"/>
        <w:jc w:val="both"/>
      </w:pPr>
      <w:bookmarkStart w:id="21" w:name="bookmark36"/>
      <w:bookmarkEnd w:id="21"/>
      <w:r>
        <w:t>получение участниками дополнительных знаний о содержании и методах работы органов м</w:t>
      </w:r>
      <w:r>
        <w:t>естного самоуправления в регионах России на разных исторических этапах развития гражданского общества;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60"/>
        </w:tabs>
        <w:ind w:left="220" w:firstLine="720"/>
        <w:jc w:val="both"/>
      </w:pPr>
      <w:bookmarkStart w:id="22" w:name="bookmark37"/>
      <w:bookmarkEnd w:id="22"/>
      <w:r>
        <w:t>анализ исторического и современного опыта развития местного самоуправления;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78"/>
        </w:tabs>
        <w:ind w:firstLine="920"/>
      </w:pPr>
      <w:bookmarkStart w:id="23" w:name="bookmark38"/>
      <w:bookmarkEnd w:id="23"/>
      <w:r>
        <w:t>формирование активной гражданской позиц</w:t>
      </w:r>
      <w:proofErr w:type="gramStart"/>
      <w:r>
        <w:t>ии у у</w:t>
      </w:r>
      <w:proofErr w:type="gramEnd"/>
      <w:r>
        <w:t>частников Конкурса;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265"/>
        </w:tabs>
        <w:spacing w:after="240"/>
        <w:ind w:left="220" w:firstLine="720"/>
        <w:jc w:val="both"/>
      </w:pPr>
      <w:bookmarkStart w:id="24" w:name="bookmark39"/>
      <w:bookmarkEnd w:id="24"/>
      <w:r>
        <w:t>обмен опытом</w:t>
      </w:r>
      <w:r>
        <w:t xml:space="preserve"> работы по изучению истории местного самоуправления, </w:t>
      </w:r>
      <w:proofErr w:type="gramStart"/>
      <w:r>
        <w:t>обучающихся</w:t>
      </w:r>
      <w:proofErr w:type="gramEnd"/>
      <w:r>
        <w:t xml:space="preserve"> в Российской Федерации.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392"/>
        </w:tabs>
      </w:pPr>
      <w:bookmarkStart w:id="25" w:name="bookmark42"/>
      <w:bookmarkStart w:id="26" w:name="bookmark40"/>
      <w:bookmarkStart w:id="27" w:name="bookmark41"/>
      <w:bookmarkStart w:id="28" w:name="bookmark43"/>
      <w:bookmarkEnd w:id="25"/>
      <w:r>
        <w:t>ОРГАНИЗАЦИОННЫЙ КОМИТЕТ И ЖЮРИ КОНКУРСА</w:t>
      </w:r>
      <w:bookmarkEnd w:id="26"/>
      <w:bookmarkEnd w:id="27"/>
      <w:bookmarkEnd w:id="28"/>
    </w:p>
    <w:p w:rsidR="001133EC" w:rsidRDefault="00B5399F">
      <w:pPr>
        <w:pStyle w:val="1"/>
        <w:numPr>
          <w:ilvl w:val="1"/>
          <w:numId w:val="1"/>
        </w:numPr>
        <w:tabs>
          <w:tab w:val="left" w:pos="1598"/>
        </w:tabs>
        <w:ind w:left="220" w:firstLine="720"/>
        <w:jc w:val="both"/>
      </w:pPr>
      <w:bookmarkStart w:id="29" w:name="bookmark44"/>
      <w:bookmarkEnd w:id="29"/>
      <w:r>
        <w:t>Организаторы Конкурса формируют организационный комитет (далее - Оргкомитет) Конкурса и утверждают его состав.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98"/>
        </w:tabs>
        <w:ind w:left="220" w:firstLine="720"/>
        <w:jc w:val="both"/>
      </w:pPr>
      <w:bookmarkStart w:id="30" w:name="bookmark45"/>
      <w:bookmarkEnd w:id="30"/>
      <w:r>
        <w:t xml:space="preserve">Общее </w:t>
      </w:r>
      <w:r>
        <w:t>руководство по подготовке и проведению Конкурса осуществляет Оргкомитет: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3149"/>
        </w:tabs>
        <w:ind w:left="2400" w:firstLine="0"/>
      </w:pPr>
      <w:bookmarkStart w:id="31" w:name="bookmark46"/>
      <w:bookmarkEnd w:id="31"/>
      <w:r>
        <w:t>вносит предложения по составу жюри Конкурса;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3149"/>
        </w:tabs>
        <w:spacing w:after="160"/>
        <w:ind w:left="2400" w:firstLine="0"/>
        <w:jc w:val="both"/>
        <w:sectPr w:rsidR="001133EC">
          <w:footerReference w:type="default" r:id="rId13"/>
          <w:pgSz w:w="11900" w:h="16840"/>
          <w:pgMar w:top="355" w:right="759" w:bottom="1429" w:left="897" w:header="0" w:footer="3" w:gutter="0"/>
          <w:pgNumType w:start="5"/>
          <w:cols w:space="720"/>
          <w:noEndnote/>
          <w:docGrid w:linePitch="360"/>
        </w:sectPr>
      </w:pPr>
      <w:r>
        <w:t xml:space="preserve">осуществляет информационное сопровождение </w:t>
      </w:r>
    </w:p>
    <w:p w:rsidR="001133EC" w:rsidRDefault="00B5399F">
      <w:pPr>
        <w:pStyle w:val="1"/>
        <w:tabs>
          <w:tab w:val="left" w:pos="3149"/>
        </w:tabs>
        <w:spacing w:after="160"/>
        <w:ind w:left="2400" w:firstLine="0"/>
        <w:jc w:val="both"/>
      </w:pPr>
      <w:bookmarkStart w:id="32" w:name="bookmark47"/>
      <w:bookmarkEnd w:id="32"/>
      <w:r>
        <w:lastRenderedPageBreak/>
        <w:t>проведения Конкурса;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18"/>
        </w:tabs>
        <w:ind w:left="180" w:firstLine="720"/>
        <w:jc w:val="both"/>
      </w:pPr>
      <w:bookmarkStart w:id="33" w:name="bookmark48"/>
      <w:bookmarkEnd w:id="33"/>
      <w:r>
        <w:t>организует прием конкурсных материалов, п</w:t>
      </w:r>
      <w:r>
        <w:t>роведение регионального (заочного) и федерального (очного) этапов Конкурса;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18"/>
        </w:tabs>
        <w:ind w:firstLine="880"/>
      </w:pPr>
      <w:bookmarkStart w:id="34" w:name="bookmark49"/>
      <w:bookmarkEnd w:id="34"/>
      <w:r>
        <w:t>решает спорные вопросы, возникшие в ходе проведения конкурса;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18"/>
        </w:tabs>
        <w:ind w:firstLine="880"/>
      </w:pPr>
      <w:bookmarkStart w:id="35" w:name="bookmark50"/>
      <w:bookmarkEnd w:id="35"/>
      <w:r>
        <w:t>заслушивает отчеты жюри;</w:t>
      </w:r>
    </w:p>
    <w:p w:rsidR="001133EC" w:rsidRDefault="00B5399F">
      <w:pPr>
        <w:pStyle w:val="1"/>
        <w:numPr>
          <w:ilvl w:val="0"/>
          <w:numId w:val="3"/>
        </w:numPr>
        <w:tabs>
          <w:tab w:val="left" w:pos="2138"/>
        </w:tabs>
        <w:ind w:left="1600" w:firstLine="0"/>
      </w:pPr>
      <w:bookmarkStart w:id="36" w:name="bookmark51"/>
      <w:bookmarkEnd w:id="36"/>
      <w:r>
        <w:t>Жюри Конкурса: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18"/>
        </w:tabs>
        <w:ind w:left="180" w:firstLine="720"/>
        <w:jc w:val="both"/>
      </w:pPr>
      <w:bookmarkStart w:id="37" w:name="bookmark52"/>
      <w:bookmarkEnd w:id="37"/>
      <w:r>
        <w:t>оценивает представленные на Конкурс материалы в соответствии с критериями;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18"/>
        </w:tabs>
        <w:ind w:firstLine="880"/>
      </w:pPr>
      <w:bookmarkStart w:id="38" w:name="bookmark53"/>
      <w:bookmarkEnd w:id="38"/>
      <w:r>
        <w:t>определяет победителей Конкурса;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18"/>
        </w:tabs>
        <w:ind w:left="180" w:firstLine="720"/>
        <w:jc w:val="both"/>
      </w:pPr>
      <w:bookmarkStart w:id="39" w:name="bookmark54"/>
      <w:bookmarkEnd w:id="39"/>
      <w:r>
        <w:t>готовит материалы для формирования Банка лучших работ «История местного самоуправления моего края».</w:t>
      </w:r>
    </w:p>
    <w:p w:rsidR="001133EC" w:rsidRDefault="00B5399F">
      <w:pPr>
        <w:pStyle w:val="1"/>
        <w:ind w:left="180" w:firstLine="720"/>
        <w:jc w:val="both"/>
      </w:pPr>
      <w:r>
        <w:t>Решение жюри Конкурса оформляется итоговым протоколом и утверждается председателем жюри.</w:t>
      </w:r>
    </w:p>
    <w:p w:rsidR="001133EC" w:rsidRDefault="00B5399F">
      <w:pPr>
        <w:pStyle w:val="1"/>
        <w:numPr>
          <w:ilvl w:val="0"/>
          <w:numId w:val="3"/>
        </w:numPr>
        <w:tabs>
          <w:tab w:val="left" w:pos="1429"/>
        </w:tabs>
        <w:ind w:left="180" w:firstLine="720"/>
        <w:jc w:val="both"/>
      </w:pPr>
      <w:bookmarkStart w:id="40" w:name="bookmark55"/>
      <w:bookmarkEnd w:id="40"/>
      <w:proofErr w:type="gramStart"/>
      <w:r>
        <w:t>В состав Организационного комитета</w:t>
      </w:r>
      <w:r>
        <w:t xml:space="preserve"> и жюри входят представители Комитета Государственной Думы по федеративному устройству и вопросам местного самоуправления, Общественной палаты Российской Федерации, Министерства просвещения Российской Федерации, Автономной некоммерческой организации «Инсти</w:t>
      </w:r>
      <w:r>
        <w:t>тут развития местных сообществ», Всероссийская ассоциации развития местного самоуправления,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</w:t>
      </w:r>
      <w:r>
        <w:t>денте Российской Федерации», Федерального государственного бюджетного учреждения</w:t>
      </w:r>
      <w:proofErr w:type="gramEnd"/>
      <w:r>
        <w:t xml:space="preserve"> науки «Институт российской истории Российской академии наук», Государственный университет управления, государственных и муниципальных органов власти, а также педагогического с</w:t>
      </w:r>
      <w:r>
        <w:t>ообщества, общественных и научных деятелей, представителей некоммерческих организаций историко-культурной и краеведческой направленности.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371"/>
        </w:tabs>
      </w:pPr>
      <w:bookmarkStart w:id="41" w:name="bookmark58"/>
      <w:bookmarkStart w:id="42" w:name="bookmark56"/>
      <w:bookmarkStart w:id="43" w:name="bookmark57"/>
      <w:bookmarkStart w:id="44" w:name="bookmark59"/>
      <w:bookmarkEnd w:id="41"/>
      <w:r>
        <w:t>ПОРЯДОК ПРОВЕДЕНИЯ ВСЕРОССИЙСКОГО КОНКУРСА</w:t>
      </w:r>
      <w:bookmarkEnd w:id="42"/>
      <w:bookmarkEnd w:id="43"/>
      <w:bookmarkEnd w:id="44"/>
    </w:p>
    <w:p w:rsidR="001133EC" w:rsidRDefault="00B5399F">
      <w:pPr>
        <w:pStyle w:val="1"/>
        <w:numPr>
          <w:ilvl w:val="1"/>
          <w:numId w:val="1"/>
        </w:numPr>
        <w:tabs>
          <w:tab w:val="left" w:pos="1505"/>
        </w:tabs>
        <w:ind w:firstLine="920"/>
        <w:jc w:val="both"/>
      </w:pPr>
      <w:bookmarkStart w:id="45" w:name="bookmark60"/>
      <w:bookmarkEnd w:id="45"/>
      <w:r>
        <w:t>Всероссийский Конкурс проводится в два этапа.</w:t>
      </w:r>
    </w:p>
    <w:p w:rsidR="001133EC" w:rsidRDefault="00B5399F">
      <w:pPr>
        <w:pStyle w:val="1"/>
        <w:numPr>
          <w:ilvl w:val="0"/>
          <w:numId w:val="4"/>
        </w:numPr>
        <w:tabs>
          <w:tab w:val="left" w:pos="1210"/>
        </w:tabs>
        <w:ind w:left="220" w:firstLine="700"/>
        <w:jc w:val="both"/>
      </w:pPr>
      <w:bookmarkStart w:id="46" w:name="bookmark61"/>
      <w:bookmarkEnd w:id="46"/>
      <w:r>
        <w:t>этап - региональный, проходит</w:t>
      </w:r>
      <w:r>
        <w:t xml:space="preserve"> с 15 декабря 2020 года по 31 марта 2021 </w:t>
      </w:r>
      <w:r>
        <w:lastRenderedPageBreak/>
        <w:t>года;</w:t>
      </w:r>
    </w:p>
    <w:p w:rsidR="001133EC" w:rsidRDefault="00B5399F">
      <w:pPr>
        <w:pStyle w:val="1"/>
        <w:numPr>
          <w:ilvl w:val="0"/>
          <w:numId w:val="4"/>
        </w:numPr>
        <w:tabs>
          <w:tab w:val="left" w:pos="1224"/>
        </w:tabs>
        <w:ind w:firstLine="920"/>
      </w:pPr>
      <w:bookmarkStart w:id="47" w:name="bookmark62"/>
      <w:bookmarkEnd w:id="47"/>
      <w:r>
        <w:t>этап - федеральный, проходит с 6 мая 2021 года по 8 мая 2021 года;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74"/>
        </w:tabs>
        <w:ind w:left="220" w:firstLine="700"/>
        <w:jc w:val="both"/>
      </w:pPr>
      <w:bookmarkStart w:id="48" w:name="bookmark63"/>
      <w:bookmarkEnd w:id="48"/>
      <w:r>
        <w:t>Рассмотрение материалов жюри Конкурса и определение победителей регионального этапа производится с 1 апреля по 7 апреля 2021 года.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13"/>
        </w:tabs>
        <w:ind w:left="220" w:firstLine="700"/>
        <w:jc w:val="both"/>
      </w:pPr>
      <w:bookmarkStart w:id="49" w:name="bookmark64"/>
      <w:bookmarkEnd w:id="49"/>
      <w:r>
        <w:t>Список побе</w:t>
      </w:r>
      <w:r>
        <w:t>дителей Регионального этапа Конкурса публикуется на сайте территория-</w:t>
      </w:r>
      <w:proofErr w:type="spellStart"/>
      <w:r>
        <w:t>развития</w:t>
      </w:r>
      <w:proofErr w:type="gramStart"/>
      <w:r>
        <w:t>.р</w:t>
      </w:r>
      <w:proofErr w:type="gramEnd"/>
      <w:r>
        <w:t>ф</w:t>
      </w:r>
      <w:proofErr w:type="spellEnd"/>
      <w:r>
        <w:t xml:space="preserve"> и </w:t>
      </w:r>
      <w:hyperlink r:id="rId14" w:history="1">
        <w:r>
          <w:t>www.irazvi.ru</w:t>
        </w:r>
      </w:hyperlink>
      <w:r>
        <w:t xml:space="preserve"> не позднее 10 апреля 2021 года.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13"/>
        </w:tabs>
        <w:ind w:left="220" w:firstLine="700"/>
        <w:jc w:val="both"/>
      </w:pPr>
      <w:bookmarkStart w:id="50" w:name="bookmark65"/>
      <w:bookmarkEnd w:id="50"/>
      <w:r>
        <w:t xml:space="preserve">Участники Конкурса, набравшие максимальное количество баллов, по каждой из номинаций </w:t>
      </w:r>
      <w:r>
        <w:t>Конкурса будут приглашены Организационным комитетом для участия в Федеральном (очном) этапе Конкурса.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08"/>
        </w:tabs>
        <w:ind w:left="220" w:firstLine="700"/>
        <w:jc w:val="both"/>
      </w:pPr>
      <w:bookmarkStart w:id="51" w:name="bookmark66"/>
      <w:bookmarkEnd w:id="51"/>
      <w:r>
        <w:t>Федеральный этап Конкурса проходит в рамках мероприятий организаторов Конкурса, итоговые мероприятия Конкурса проходит в Государственной Думе Федерального</w:t>
      </w:r>
      <w:r>
        <w:t xml:space="preserve"> Собрания Российской Федерации.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05"/>
        </w:tabs>
        <w:ind w:left="220" w:firstLine="700"/>
        <w:jc w:val="both"/>
      </w:pPr>
      <w:bookmarkStart w:id="52" w:name="bookmark67"/>
      <w:bookmarkEnd w:id="52"/>
      <w:r>
        <w:t>Расходы на проезд, проживание и питания участники несут самостоятельно или за счет направляющей стороны.</w:t>
      </w:r>
    </w:p>
    <w:p w:rsidR="001133EC" w:rsidRDefault="00B5399F">
      <w:pPr>
        <w:pStyle w:val="1"/>
        <w:spacing w:after="240"/>
        <w:ind w:left="220" w:firstLine="700"/>
        <w:jc w:val="both"/>
      </w:pPr>
      <w:r>
        <w:t>Конкурсные работы, присланные после 31 марта 2020 года, не принимаются и не рассматриваются.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381"/>
        </w:tabs>
      </w:pPr>
      <w:bookmarkStart w:id="53" w:name="bookmark70"/>
      <w:bookmarkStart w:id="54" w:name="bookmark68"/>
      <w:bookmarkStart w:id="55" w:name="bookmark69"/>
      <w:bookmarkStart w:id="56" w:name="bookmark71"/>
      <w:bookmarkEnd w:id="53"/>
      <w:r>
        <w:t>ПОРЯДОК ПРОВЕДЕНИЯ РЕГИОНА</w:t>
      </w:r>
      <w:r>
        <w:t>ЛЬНОГО ЭТАПА</w:t>
      </w:r>
      <w:r>
        <w:br/>
        <w:t>КОНКУРСА</w:t>
      </w:r>
      <w:bookmarkEnd w:id="54"/>
      <w:bookmarkEnd w:id="55"/>
      <w:bookmarkEnd w:id="56"/>
    </w:p>
    <w:p w:rsidR="001133EC" w:rsidRDefault="00B5399F">
      <w:pPr>
        <w:pStyle w:val="1"/>
        <w:numPr>
          <w:ilvl w:val="1"/>
          <w:numId w:val="1"/>
        </w:numPr>
        <w:tabs>
          <w:tab w:val="left" w:pos="1508"/>
        </w:tabs>
        <w:ind w:left="220" w:firstLine="700"/>
        <w:jc w:val="both"/>
      </w:pPr>
      <w:bookmarkStart w:id="57" w:name="bookmark72"/>
      <w:bookmarkEnd w:id="57"/>
      <w:r>
        <w:t>Региональный этап проводится с 15 декабря 2020 года по 30 апреля 2021 года.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74"/>
        </w:tabs>
        <w:ind w:left="220" w:firstLine="700"/>
        <w:jc w:val="both"/>
      </w:pPr>
      <w:bookmarkStart w:id="58" w:name="bookmark73"/>
      <w:bookmarkEnd w:id="58"/>
      <w:r>
        <w:t>Для проведения региональных этапов Конкурса в субъектах Российской Федерации формируются региональные организационные комитеты. Состав Регионального организац</w:t>
      </w:r>
      <w:r>
        <w:t>ионного комитета определяется представителями исполнительных и законодательных органов власти субъектов</w:t>
      </w:r>
    </w:p>
    <w:p w:rsidR="001133EC" w:rsidRDefault="00B5399F">
      <w:pPr>
        <w:pStyle w:val="1"/>
        <w:ind w:firstLine="220"/>
        <w:jc w:val="both"/>
      </w:pPr>
      <w:r>
        <w:t>Российской Федерации самостоятельно.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80"/>
        </w:tabs>
        <w:ind w:left="220" w:firstLine="720"/>
        <w:jc w:val="both"/>
      </w:pPr>
      <w:bookmarkStart w:id="59" w:name="bookmark74"/>
      <w:bookmarkEnd w:id="59"/>
      <w:r>
        <w:t>К функциям региональных оргкомитетов относятся: организация и проведение региональных этапов Конкурса; отбор победи</w:t>
      </w:r>
      <w:r>
        <w:t>телей в каждой номинации; подготовка и формирование заявки для участия в Конкурсе от субъекта Российской Федерации.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734"/>
        </w:tabs>
        <w:ind w:left="220" w:firstLine="720"/>
        <w:jc w:val="both"/>
      </w:pPr>
      <w:bookmarkStart w:id="60" w:name="bookmark75"/>
      <w:bookmarkEnd w:id="60"/>
      <w:r>
        <w:t xml:space="preserve">Состав региональных комитетов формируется из числа </w:t>
      </w:r>
      <w:r>
        <w:lastRenderedPageBreak/>
        <w:t>представителей региональных органов исполнительной и законодательной власти, органов мест</w:t>
      </w:r>
      <w:r>
        <w:t>ного самоуправления, общественных палат, деловых и предпринимательских объединений, общественных организаций и отраслевых ассоциаций (союзов).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80"/>
        </w:tabs>
        <w:ind w:left="220" w:firstLine="720"/>
        <w:jc w:val="both"/>
      </w:pPr>
      <w:bookmarkStart w:id="61" w:name="bookmark76"/>
      <w:bookmarkEnd w:id="61"/>
      <w:r>
        <w:t>Исполнительная дирекция Конкурса регистрирует Региональные организационные комитеты. Информация о действующих Рег</w:t>
      </w:r>
      <w:r>
        <w:t>иональных организационных комитетах размещается на официальном сайте Конкурса территория-</w:t>
      </w:r>
      <w:proofErr w:type="spellStart"/>
      <w:r>
        <w:t>развития</w:t>
      </w:r>
      <w:proofErr w:type="gramStart"/>
      <w:r>
        <w:t>.р</w:t>
      </w:r>
      <w:proofErr w:type="gramEnd"/>
      <w:r>
        <w:t>ф</w:t>
      </w:r>
      <w:proofErr w:type="spellEnd"/>
      <w:r>
        <w:t xml:space="preserve"> и </w:t>
      </w:r>
      <w:hyperlink r:id="rId15" w:history="1">
        <w:r>
          <w:t>www.irazvi.ru</w:t>
        </w:r>
      </w:hyperlink>
      <w:r>
        <w:t>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734"/>
        </w:tabs>
        <w:ind w:left="220" w:firstLine="720"/>
        <w:jc w:val="both"/>
      </w:pPr>
      <w:bookmarkStart w:id="62" w:name="bookmark77"/>
      <w:bookmarkEnd w:id="62"/>
      <w:r>
        <w:t>Рекомендуется создание организационных комитетов на муниципальном уровне.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80"/>
        </w:tabs>
        <w:ind w:left="220" w:firstLine="720"/>
        <w:jc w:val="both"/>
      </w:pPr>
      <w:bookmarkStart w:id="63" w:name="bookmark78"/>
      <w:bookmarkEnd w:id="63"/>
      <w:r>
        <w:t xml:space="preserve">В отсутствии Регионального </w:t>
      </w:r>
      <w:r>
        <w:t>организационного комитета, работы участников направляются на Федеральный этап Конкурса самостоятельно.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80"/>
        </w:tabs>
        <w:spacing w:after="240"/>
        <w:ind w:left="220" w:firstLine="720"/>
        <w:jc w:val="both"/>
      </w:pPr>
      <w:bookmarkStart w:id="64" w:name="bookmark79"/>
      <w:bookmarkEnd w:id="64"/>
      <w:r>
        <w:t>Порядок проведения Конкурса на региональном уровне определяется в каждом субъекте самостоятельно.</w:t>
      </w:r>
    </w:p>
    <w:p w:rsidR="001133EC" w:rsidRDefault="00B5399F">
      <w:pPr>
        <w:pStyle w:val="1"/>
        <w:numPr>
          <w:ilvl w:val="0"/>
          <w:numId w:val="1"/>
        </w:numPr>
        <w:tabs>
          <w:tab w:val="left" w:pos="386"/>
        </w:tabs>
        <w:spacing w:after="240"/>
        <w:ind w:firstLine="0"/>
        <w:jc w:val="center"/>
      </w:pPr>
      <w:bookmarkStart w:id="65" w:name="bookmark80"/>
      <w:bookmarkEnd w:id="65"/>
      <w:r>
        <w:rPr>
          <w:b/>
          <w:bCs/>
        </w:rPr>
        <w:t>НОМИНАЦИИ КОНКУРСА</w:t>
      </w:r>
    </w:p>
    <w:p w:rsidR="001133EC" w:rsidRDefault="00B5399F">
      <w:pPr>
        <w:pStyle w:val="1"/>
        <w:ind w:left="220" w:firstLine="720"/>
        <w:jc w:val="both"/>
      </w:pPr>
      <w:r>
        <w:rPr>
          <w:b/>
          <w:bCs/>
        </w:rPr>
        <w:t xml:space="preserve">Номинации, рекомендуемые участникам </w:t>
      </w:r>
      <w:r>
        <w:rPr>
          <w:b/>
          <w:bCs/>
        </w:rPr>
        <w:t>в обеих возрастных категориях (12-16 лет и 17-25 лет):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734"/>
        </w:tabs>
        <w:ind w:left="220" w:firstLine="720"/>
        <w:jc w:val="both"/>
      </w:pPr>
      <w:bookmarkStart w:id="66" w:name="bookmark81"/>
      <w:bookmarkEnd w:id="66"/>
      <w:r>
        <w:t>видеоролик «Лидеры местного самоуправления»;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734"/>
        </w:tabs>
        <w:ind w:firstLine="920"/>
        <w:jc w:val="both"/>
      </w:pPr>
      <w:bookmarkStart w:id="67" w:name="bookmark82"/>
      <w:bookmarkEnd w:id="67"/>
      <w:r>
        <w:t>видеоролик «Один день из жизни местного самоуправления»;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734"/>
        </w:tabs>
        <w:ind w:firstLine="920"/>
        <w:jc w:val="both"/>
      </w:pPr>
      <w:bookmarkStart w:id="68" w:name="bookmark83"/>
      <w:bookmarkEnd w:id="68"/>
      <w:r>
        <w:t>видеоролик «Организация добрососедских отношений»;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734"/>
        </w:tabs>
        <w:ind w:firstLine="920"/>
        <w:jc w:val="both"/>
      </w:pPr>
      <w:bookmarkStart w:id="69" w:name="bookmark84"/>
      <w:bookmarkEnd w:id="69"/>
      <w:r>
        <w:t>исследование «История местного самоуправления мо</w:t>
      </w:r>
      <w:r>
        <w:t>его края»;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ind w:left="220" w:firstLine="740"/>
        <w:jc w:val="both"/>
      </w:pPr>
      <w:bookmarkStart w:id="70" w:name="bookmark85"/>
      <w:bookmarkEnd w:id="70"/>
      <w:r>
        <w:t>исследование «Лидеры местного самоуправления» о вкладе отдельных исторических личностей края (поселения) в развитии местного самоуправления;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ind w:left="220" w:firstLine="740"/>
        <w:jc w:val="both"/>
      </w:pPr>
      <w:bookmarkStart w:id="71" w:name="bookmark86"/>
      <w:bookmarkEnd w:id="71"/>
      <w:r>
        <w:t>исследование «История местного самоуправления в странах Европы и Азии» (городах побратимах);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ind w:left="220" w:firstLine="740"/>
        <w:jc w:val="both"/>
      </w:pPr>
      <w:bookmarkStart w:id="72" w:name="bookmark87"/>
      <w:bookmarkEnd w:id="72"/>
      <w:r>
        <w:t>исследовани</w:t>
      </w:r>
      <w:r>
        <w:t>е «Самый важный нормативно-правовой акт местного самоуправления»;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ind w:left="220" w:firstLine="740"/>
        <w:jc w:val="both"/>
      </w:pPr>
      <w:bookmarkStart w:id="73" w:name="bookmark88"/>
      <w:bookmarkEnd w:id="73"/>
      <w:r>
        <w:t>исследование «Самая яркая страница развития истории местного самоуправления моего края»;</w:t>
      </w:r>
    </w:p>
    <w:p w:rsidR="001133EC" w:rsidRDefault="00B5399F">
      <w:pPr>
        <w:pStyle w:val="1"/>
        <w:ind w:left="220" w:firstLine="740"/>
        <w:jc w:val="both"/>
      </w:pPr>
      <w:r>
        <w:rPr>
          <w:b/>
          <w:bCs/>
        </w:rPr>
        <w:t>Номинации, рекомендуемые участникам в возрасте от 17 до 25 лет:</w:t>
      </w:r>
    </w:p>
    <w:p w:rsidR="001133EC" w:rsidRDefault="00B5399F">
      <w:pPr>
        <w:pStyle w:val="1"/>
        <w:ind w:left="220" w:firstLine="740"/>
        <w:jc w:val="both"/>
      </w:pPr>
      <w:r>
        <w:rPr>
          <w:b/>
          <w:bCs/>
        </w:rPr>
        <w:lastRenderedPageBreak/>
        <w:t xml:space="preserve">Практическое участие в деятельности </w:t>
      </w:r>
      <w:r>
        <w:rPr>
          <w:b/>
          <w:bCs/>
        </w:rPr>
        <w:t>местного самоуправления (защита проектов):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ind w:left="220" w:firstLine="740"/>
        <w:jc w:val="both"/>
      </w:pPr>
      <w:bookmarkStart w:id="74" w:name="bookmark89"/>
      <w:bookmarkEnd w:id="74"/>
      <w:r>
        <w:t>«Общественные слушания в нашем муниципальном образовании - вчера, сегодня и завтра»;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ind w:left="220" w:firstLine="740"/>
        <w:jc w:val="both"/>
      </w:pPr>
      <w:bookmarkStart w:id="75" w:name="bookmark90"/>
      <w:bookmarkEnd w:id="75"/>
      <w:r>
        <w:t xml:space="preserve">«Моя практика участия в работе </w:t>
      </w:r>
      <w:proofErr w:type="spellStart"/>
      <w:r>
        <w:t>ТОСа</w:t>
      </w:r>
      <w:proofErr w:type="spellEnd"/>
      <w:r>
        <w:t xml:space="preserve"> (органа территориального общественного самоуправления, уличного комитета)»;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ind w:left="220" w:firstLine="740"/>
        <w:jc w:val="both"/>
      </w:pPr>
      <w:bookmarkStart w:id="76" w:name="bookmark91"/>
      <w:bookmarkEnd w:id="76"/>
      <w:r>
        <w:t>«Моя практика уч</w:t>
      </w:r>
      <w:r>
        <w:t>астия в работе нашего ТСЖ (товарищества собственников жилья), МКД (многоквартирного дома), домкома»;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69"/>
        </w:tabs>
        <w:spacing w:after="240"/>
        <w:ind w:left="220" w:firstLine="740"/>
        <w:jc w:val="both"/>
      </w:pPr>
      <w:bookmarkStart w:id="77" w:name="bookmark92"/>
      <w:bookmarkEnd w:id="77"/>
      <w:r>
        <w:t>«Моя практика участия в работе совета нашего подъезда».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387"/>
        </w:tabs>
      </w:pPr>
      <w:bookmarkStart w:id="78" w:name="bookmark95"/>
      <w:bookmarkStart w:id="79" w:name="bookmark93"/>
      <w:bookmarkStart w:id="80" w:name="bookmark94"/>
      <w:bookmarkStart w:id="81" w:name="bookmark96"/>
      <w:bookmarkEnd w:id="78"/>
      <w:r>
        <w:t>ПЕРЕЧЕНЬ И ОПИСАНИЕ МАТЕРИАЛОВ,</w:t>
      </w:r>
      <w:r>
        <w:br/>
        <w:t>ПРЕДСТАВЛЯЕМЫХ НА КОНКУРС</w:t>
      </w:r>
      <w:bookmarkEnd w:id="79"/>
      <w:bookmarkEnd w:id="80"/>
      <w:bookmarkEnd w:id="81"/>
    </w:p>
    <w:p w:rsidR="001133EC" w:rsidRDefault="00B5399F">
      <w:pPr>
        <w:pStyle w:val="1"/>
        <w:numPr>
          <w:ilvl w:val="1"/>
          <w:numId w:val="1"/>
        </w:numPr>
        <w:tabs>
          <w:tab w:val="left" w:pos="1519"/>
        </w:tabs>
        <w:ind w:left="220" w:firstLine="740"/>
        <w:jc w:val="both"/>
      </w:pPr>
      <w:bookmarkStart w:id="82" w:name="bookmark97"/>
      <w:bookmarkEnd w:id="82"/>
      <w:r>
        <w:t xml:space="preserve">На Конкурс принимаются работы в </w:t>
      </w:r>
      <w:r>
        <w:t>номинациях блока «Видеоролик» в формате видеофильма (хронометраж от 2 до 4 минут);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69"/>
        </w:tabs>
        <w:ind w:left="220" w:firstLine="740"/>
        <w:jc w:val="both"/>
      </w:pPr>
      <w:bookmarkStart w:id="83" w:name="bookmark98"/>
      <w:bookmarkEnd w:id="83"/>
      <w:r>
        <w:t>Конкурсные материалы номинаций блока «Исследования» представляются только в электронном виде. Требования к оформлению: объем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708"/>
        </w:tabs>
        <w:ind w:firstLine="220"/>
        <w:jc w:val="both"/>
      </w:pPr>
      <w:bookmarkStart w:id="84" w:name="bookmark99"/>
      <w:bookmarkEnd w:id="84"/>
      <w:r>
        <w:t>5-15 печатных страниц формата А</w:t>
      </w:r>
      <w:proofErr w:type="gramStart"/>
      <w:r>
        <w:t>4</w:t>
      </w:r>
      <w:proofErr w:type="gramEnd"/>
      <w:r>
        <w:t>, шрифт - 14 кег</w:t>
      </w:r>
      <w:r>
        <w:t>ль; интервал - 1,5; шрифт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708"/>
        </w:tabs>
        <w:ind w:firstLine="220"/>
        <w:jc w:val="both"/>
      </w:pPr>
      <w:bookmarkStart w:id="85" w:name="bookmark100"/>
      <w:bookmarkEnd w:id="85"/>
      <w:proofErr w:type="spellStart"/>
      <w:proofErr w:type="gram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поля: слева - 2,75 см, справа - 2,2 см, сверху - 3 см, снизу</w:t>
      </w:r>
      <w:proofErr w:type="gramEnd"/>
    </w:p>
    <w:p w:rsidR="001133EC" w:rsidRDefault="00B5399F">
      <w:pPr>
        <w:pStyle w:val="1"/>
        <w:numPr>
          <w:ilvl w:val="0"/>
          <w:numId w:val="2"/>
        </w:numPr>
        <w:tabs>
          <w:tab w:val="left" w:pos="564"/>
        </w:tabs>
        <w:ind w:firstLine="220"/>
        <w:jc w:val="both"/>
      </w:pPr>
      <w:bookmarkStart w:id="86" w:name="bookmark101"/>
      <w:bookmarkEnd w:id="86"/>
      <w:r>
        <w:t>2 см; нумерация страниц - нижний колонтитул (справа);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26"/>
        </w:tabs>
        <w:ind w:left="220" w:firstLine="720"/>
        <w:jc w:val="both"/>
      </w:pPr>
      <w:bookmarkStart w:id="87" w:name="bookmark102"/>
      <w:bookmarkEnd w:id="87"/>
      <w:r>
        <w:t xml:space="preserve">Номинации блока «Практическое участие в деятельности местного самоуправления» оформляются в </w:t>
      </w:r>
      <w:r>
        <w:t>соответствии с правилами оформления социального проекта (актуальность, цель, задачи, этапы реализации, использованные источники информации, личное участие, результаты и т.д.) в электронном виде в соответствии с Требованиями к оформлению: (п. 7.2);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26"/>
        </w:tabs>
        <w:ind w:left="220" w:firstLine="720"/>
        <w:jc w:val="both"/>
      </w:pPr>
      <w:bookmarkStart w:id="88" w:name="bookmark103"/>
      <w:bookmarkEnd w:id="88"/>
      <w:r>
        <w:t>Автор им</w:t>
      </w:r>
      <w:r>
        <w:t>еет право включить в состав проекта инициативную группу, участвующую в реализации;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22"/>
        </w:tabs>
        <w:spacing w:after="220"/>
        <w:ind w:left="220" w:firstLine="720"/>
        <w:jc w:val="both"/>
      </w:pPr>
      <w:bookmarkStart w:id="89" w:name="bookmark104"/>
      <w:bookmarkEnd w:id="89"/>
      <w:proofErr w:type="gramStart"/>
      <w:r>
        <w:t>Защита работ на очном этапе Конкурса номинаций блока «Исследование» и «Практическое участие в деятельности местного самоуправления» происходит только с использованием электр</w:t>
      </w:r>
      <w:r>
        <w:t>онной презентации (не более 10-15 слайдов, рассказ - не более 5 минут, титульный слайд включает в себя Название работы, ФИО участника.</w:t>
      </w:r>
      <w:proofErr w:type="gramEnd"/>
      <w:r>
        <w:t xml:space="preserve"> </w:t>
      </w:r>
      <w:proofErr w:type="gramStart"/>
      <w:r>
        <w:t xml:space="preserve">ФИО научного руководителя, Номинация, </w:t>
      </w:r>
      <w:r w:rsidR="00650C61">
        <w:lastRenderedPageBreak/>
        <w:t>возвратная</w:t>
      </w:r>
      <w:r>
        <w:t xml:space="preserve"> категория, регион);</w:t>
      </w:r>
      <w:proofErr w:type="gramEnd"/>
    </w:p>
    <w:p w:rsidR="001133EC" w:rsidRDefault="00B5399F">
      <w:pPr>
        <w:pStyle w:val="1"/>
        <w:numPr>
          <w:ilvl w:val="1"/>
          <w:numId w:val="1"/>
        </w:numPr>
        <w:tabs>
          <w:tab w:val="left" w:pos="1526"/>
        </w:tabs>
        <w:ind w:left="220" w:firstLine="720"/>
        <w:jc w:val="both"/>
      </w:pPr>
      <w:bookmarkStart w:id="90" w:name="bookmark105"/>
      <w:bookmarkEnd w:id="90"/>
      <w:r>
        <w:t>Организационный комитет оставляет за собой право испо</w:t>
      </w:r>
      <w:r>
        <w:t>льзовать работы, представленные на Конкурс в некоммерческих целях, в том числе имеет право использовать материалы конкурсных работ при издании печатной и электронной продукции;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22"/>
        </w:tabs>
        <w:ind w:left="220" w:firstLine="720"/>
        <w:jc w:val="both"/>
      </w:pPr>
      <w:bookmarkStart w:id="91" w:name="bookmark106"/>
      <w:bookmarkEnd w:id="91"/>
      <w:r>
        <w:t>Предоставление материалов на Конкурс рассматривается как согласие их авторов на</w:t>
      </w:r>
      <w:r>
        <w:t xml:space="preserve"> открытую публикацию с обязательным указанием авторства;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22"/>
        </w:tabs>
        <w:ind w:left="220" w:firstLine="720"/>
        <w:jc w:val="both"/>
      </w:pPr>
      <w:bookmarkStart w:id="92" w:name="bookmark107"/>
      <w:bookmarkEnd w:id="92"/>
      <w:r>
        <w:t>Направление конкурсных материалов участником на Конкурс является фактом принятия условий проведения Конкурса участником;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22"/>
        </w:tabs>
        <w:spacing w:after="220"/>
        <w:ind w:left="220" w:firstLine="720"/>
        <w:jc w:val="both"/>
      </w:pPr>
      <w:bookmarkStart w:id="93" w:name="bookmark108"/>
      <w:bookmarkEnd w:id="93"/>
      <w:r>
        <w:t>Участники Конкурса несут ответственность, предусмотренную действующим законода</w:t>
      </w:r>
      <w:r>
        <w:t>тельством Российской Федерации за нарушение интеллектуальных прав третьих лиц.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337"/>
        </w:tabs>
        <w:spacing w:after="220"/>
      </w:pPr>
      <w:bookmarkStart w:id="94" w:name="bookmark111"/>
      <w:bookmarkStart w:id="95" w:name="bookmark109"/>
      <w:bookmarkStart w:id="96" w:name="bookmark110"/>
      <w:bookmarkStart w:id="97" w:name="bookmark112"/>
      <w:bookmarkEnd w:id="94"/>
      <w:r>
        <w:t>ОЦЕНКА РАБОТ И ОПРЕДЕЛЕНИЕ ПОБЕДИТЕЛЕЙ</w:t>
      </w:r>
      <w:bookmarkEnd w:id="95"/>
      <w:bookmarkEnd w:id="96"/>
      <w:bookmarkEnd w:id="97"/>
    </w:p>
    <w:p w:rsidR="001133EC" w:rsidRDefault="00B5399F">
      <w:pPr>
        <w:pStyle w:val="1"/>
        <w:spacing w:after="120"/>
        <w:ind w:left="220" w:firstLine="720"/>
        <w:jc w:val="both"/>
      </w:pPr>
      <w:r>
        <w:t>При определении победителей Конкурса жюри руководствуется следующими критериями: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</w:tabs>
        <w:ind w:left="260" w:firstLine="720"/>
      </w:pPr>
      <w:bookmarkStart w:id="98" w:name="bookmark113"/>
      <w:bookmarkEnd w:id="98"/>
      <w:r>
        <w:t>соответствие представленных материалов целям, задачам и т</w:t>
      </w:r>
      <w:r>
        <w:t>ематике Конкурса;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</w:tabs>
        <w:ind w:firstLine="960"/>
      </w:pPr>
      <w:bookmarkStart w:id="99" w:name="bookmark114"/>
      <w:bookmarkEnd w:id="99"/>
      <w:r>
        <w:t>актуальность представленного материала;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</w:tabs>
        <w:ind w:left="260" w:firstLine="720"/>
        <w:jc w:val="both"/>
      </w:pPr>
      <w:bookmarkStart w:id="100" w:name="bookmark115"/>
      <w:bookmarkEnd w:id="100"/>
      <w:r>
        <w:t>отражение национальных традиций и особенностей местного самоуправления;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</w:tabs>
        <w:ind w:firstLine="960"/>
        <w:jc w:val="both"/>
      </w:pPr>
      <w:bookmarkStart w:id="101" w:name="bookmark116"/>
      <w:bookmarkEnd w:id="101"/>
      <w:r>
        <w:t>использование архивных материалов;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</w:tabs>
        <w:ind w:firstLine="960"/>
        <w:jc w:val="both"/>
      </w:pPr>
      <w:bookmarkStart w:id="102" w:name="bookmark117"/>
      <w:bookmarkEnd w:id="102"/>
      <w:r>
        <w:t>историческая ценность;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</w:tabs>
        <w:ind w:firstLine="960"/>
        <w:jc w:val="both"/>
      </w:pPr>
      <w:bookmarkStart w:id="103" w:name="bookmark118"/>
      <w:bookmarkEnd w:id="103"/>
      <w:r>
        <w:t>исследовательский характер работы;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  <w:tab w:val="left" w:pos="7539"/>
          <w:tab w:val="right" w:pos="9931"/>
        </w:tabs>
        <w:ind w:firstLine="960"/>
        <w:jc w:val="both"/>
      </w:pPr>
      <w:bookmarkStart w:id="104" w:name="bookmark119"/>
      <w:bookmarkEnd w:id="104"/>
      <w:r>
        <w:t xml:space="preserve">возможность использования </w:t>
      </w:r>
      <w:r>
        <w:t>представленной</w:t>
      </w:r>
      <w:r>
        <w:tab/>
        <w:t>работы в</w:t>
      </w:r>
      <w:r>
        <w:tab/>
        <w:t>качестве</w:t>
      </w:r>
    </w:p>
    <w:p w:rsidR="001133EC" w:rsidRDefault="00B5399F">
      <w:pPr>
        <w:pStyle w:val="1"/>
        <w:ind w:firstLine="260"/>
      </w:pPr>
      <w:r>
        <w:t>методического пособия, рекомендаций;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</w:tabs>
        <w:ind w:firstLine="960"/>
      </w:pPr>
      <w:bookmarkStart w:id="105" w:name="bookmark120"/>
      <w:bookmarkEnd w:id="105"/>
      <w:r>
        <w:t>практическое участие в деятельности местного самоуправления;</w:t>
      </w:r>
    </w:p>
    <w:p w:rsidR="001133EC" w:rsidRDefault="00B5399F">
      <w:pPr>
        <w:pStyle w:val="1"/>
        <w:numPr>
          <w:ilvl w:val="0"/>
          <w:numId w:val="2"/>
        </w:numPr>
        <w:tabs>
          <w:tab w:val="left" w:pos="1646"/>
          <w:tab w:val="left" w:pos="7544"/>
          <w:tab w:val="right" w:pos="9931"/>
        </w:tabs>
        <w:ind w:firstLine="960"/>
        <w:jc w:val="both"/>
      </w:pPr>
      <w:bookmarkStart w:id="106" w:name="bookmark121"/>
      <w:bookmarkEnd w:id="106"/>
      <w:r>
        <w:t>возможность использования представленной</w:t>
      </w:r>
      <w:r>
        <w:tab/>
        <w:t>практики</w:t>
      </w:r>
      <w:r>
        <w:tab/>
        <w:t>в жизни</w:t>
      </w:r>
    </w:p>
    <w:p w:rsidR="001133EC" w:rsidRDefault="00B5399F">
      <w:pPr>
        <w:pStyle w:val="1"/>
        <w:spacing w:after="240"/>
        <w:ind w:firstLine="260"/>
      </w:pPr>
      <w:r>
        <w:t>местного сообщества;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1377"/>
        </w:tabs>
        <w:ind w:left="4300" w:hanging="3320"/>
        <w:jc w:val="left"/>
      </w:pPr>
      <w:bookmarkStart w:id="107" w:name="bookmark124"/>
      <w:bookmarkStart w:id="108" w:name="bookmark122"/>
      <w:bookmarkStart w:id="109" w:name="bookmark123"/>
      <w:bookmarkStart w:id="110" w:name="bookmark125"/>
      <w:bookmarkEnd w:id="107"/>
      <w:r>
        <w:lastRenderedPageBreak/>
        <w:t xml:space="preserve">ПОРЯДОК ОПРЕДЕЛЕНИЯ И НАГРАЖДЕНИЯ ПОБЕДИТЕЛЕЙ </w:t>
      </w:r>
      <w:r>
        <w:t>КОНКУРСА</w:t>
      </w:r>
      <w:bookmarkEnd w:id="108"/>
      <w:bookmarkEnd w:id="109"/>
      <w:bookmarkEnd w:id="110"/>
    </w:p>
    <w:p w:rsidR="001133EC" w:rsidRDefault="00B5399F">
      <w:pPr>
        <w:pStyle w:val="1"/>
        <w:numPr>
          <w:ilvl w:val="1"/>
          <w:numId w:val="1"/>
        </w:numPr>
        <w:tabs>
          <w:tab w:val="left" w:pos="1646"/>
        </w:tabs>
        <w:ind w:left="260" w:firstLine="720"/>
        <w:jc w:val="both"/>
      </w:pPr>
      <w:bookmarkStart w:id="111" w:name="bookmark126"/>
      <w:bookmarkEnd w:id="111"/>
      <w:r>
        <w:t>По итогам Регионального этапа Конкурса, жюри определяет участников в каждой из номинации, конкурсные материалы которых набрали максимальное количество баллов;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46"/>
        </w:tabs>
        <w:ind w:left="260" w:firstLine="720"/>
        <w:jc w:val="both"/>
      </w:pPr>
      <w:bookmarkStart w:id="112" w:name="bookmark127"/>
      <w:bookmarkEnd w:id="112"/>
      <w:r>
        <w:t>Список участников, прошедших на очный этап Конкурса, публикуется на официальном сайте: т</w:t>
      </w:r>
      <w:r>
        <w:t>ерритория-</w:t>
      </w:r>
      <w:proofErr w:type="spellStart"/>
      <w:r>
        <w:t>развития</w:t>
      </w:r>
      <w:proofErr w:type="gramStart"/>
      <w:r>
        <w:t>.р</w:t>
      </w:r>
      <w:proofErr w:type="gramEnd"/>
      <w:r>
        <w:t>ф</w:t>
      </w:r>
      <w:proofErr w:type="spellEnd"/>
      <w:r>
        <w:t xml:space="preserve"> и </w:t>
      </w:r>
      <w:hyperlink r:id="rId16" w:history="1">
        <w:r>
          <w:t>www.irazvi.ru</w:t>
        </w:r>
      </w:hyperlink>
      <w:r>
        <w:t>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46"/>
        </w:tabs>
        <w:ind w:left="260" w:firstLine="720"/>
        <w:jc w:val="both"/>
      </w:pPr>
      <w:bookmarkStart w:id="113" w:name="bookmark128"/>
      <w:bookmarkEnd w:id="113"/>
      <w:r>
        <w:t>Участникам Федерального (очного) этапа вручаются Сертификаты участника Конкурса;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46"/>
        </w:tabs>
        <w:ind w:left="260" w:firstLine="720"/>
        <w:jc w:val="both"/>
      </w:pPr>
      <w:bookmarkStart w:id="114" w:name="bookmark129"/>
      <w:bookmarkEnd w:id="114"/>
      <w:r>
        <w:t>Победители и призеры Федерального (очного) этапа награждаются Дипломами Конкурса;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46"/>
        </w:tabs>
        <w:ind w:left="260" w:firstLine="720"/>
        <w:jc w:val="both"/>
      </w:pPr>
      <w:bookmarkStart w:id="115" w:name="bookmark130"/>
      <w:bookmarkEnd w:id="115"/>
      <w:r>
        <w:t>Участники, занявшие</w:t>
      </w:r>
      <w:r>
        <w:t xml:space="preserve"> первые места на Федеральном этапе Конкурса, награждаются путевками в Международный детский центр «Артек» (Республика Крым);</w:t>
      </w:r>
    </w:p>
    <w:p w:rsidR="001133EC" w:rsidRDefault="00B5399F" w:rsidP="00650C61">
      <w:pPr>
        <w:pStyle w:val="1"/>
        <w:numPr>
          <w:ilvl w:val="1"/>
          <w:numId w:val="1"/>
        </w:numPr>
        <w:tabs>
          <w:tab w:val="left" w:pos="1646"/>
        </w:tabs>
        <w:ind w:firstLine="260"/>
        <w:jc w:val="both"/>
      </w:pPr>
      <w:bookmarkStart w:id="116" w:name="bookmark131"/>
      <w:bookmarkEnd w:id="116"/>
      <w:r>
        <w:t>Участники старшей возрастной группы будут приглашены для</w:t>
      </w:r>
      <w:r w:rsidR="00650C61">
        <w:t xml:space="preserve"> </w:t>
      </w:r>
      <w:bookmarkStart w:id="117" w:name="_GoBack"/>
      <w:bookmarkEnd w:id="117"/>
      <w:r>
        <w:t xml:space="preserve">прохождения </w:t>
      </w:r>
      <w:r>
        <w:t>практики в Государственной Думе Российской Федерации;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80"/>
        </w:tabs>
        <w:ind w:left="260" w:firstLine="760"/>
        <w:jc w:val="both"/>
      </w:pPr>
      <w:bookmarkStart w:id="118" w:name="bookmark132"/>
      <w:bookmarkEnd w:id="118"/>
      <w:r>
        <w:t>Участники Конкурса будут рекомендованы для вхождения в состав Советов по городскому развитию;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80"/>
        </w:tabs>
        <w:ind w:left="260" w:firstLine="760"/>
        <w:jc w:val="both"/>
      </w:pPr>
      <w:bookmarkStart w:id="119" w:name="bookmark133"/>
      <w:bookmarkEnd w:id="119"/>
      <w:r>
        <w:t>Материалы лучших работ будут опубликованы в журнале «Местное право» и «Преподавание истории и обществознания</w:t>
      </w:r>
      <w:r>
        <w:t xml:space="preserve"> в школе»;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580"/>
        </w:tabs>
        <w:ind w:left="260" w:firstLine="760"/>
        <w:jc w:val="both"/>
      </w:pPr>
      <w:bookmarkStart w:id="120" w:name="bookmark134"/>
      <w:bookmarkEnd w:id="120"/>
      <w:r>
        <w:t>Материалы о победителях Конкурса и лучших проектов будут представлены в издании Медиа-холдинга «Регионы России»;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65"/>
        </w:tabs>
        <w:spacing w:after="240"/>
        <w:ind w:left="260" w:firstLine="760"/>
        <w:jc w:val="both"/>
      </w:pPr>
      <w:bookmarkStart w:id="121" w:name="bookmark135"/>
      <w:bookmarkEnd w:id="121"/>
      <w:r>
        <w:t>Научным руководителям участников федерального этапа Конкурса вручаются Благодарственные письма;</w:t>
      </w:r>
    </w:p>
    <w:p w:rsidR="001133EC" w:rsidRDefault="00B5399F">
      <w:pPr>
        <w:pStyle w:val="32"/>
        <w:keepNext/>
        <w:keepLines/>
        <w:numPr>
          <w:ilvl w:val="0"/>
          <w:numId w:val="1"/>
        </w:numPr>
        <w:tabs>
          <w:tab w:val="left" w:pos="2008"/>
        </w:tabs>
        <w:ind w:left="1520"/>
        <w:jc w:val="left"/>
      </w:pPr>
      <w:bookmarkStart w:id="122" w:name="bookmark138"/>
      <w:bookmarkStart w:id="123" w:name="bookmark136"/>
      <w:bookmarkStart w:id="124" w:name="bookmark137"/>
      <w:bookmarkStart w:id="125" w:name="bookmark139"/>
      <w:bookmarkEnd w:id="122"/>
      <w:r>
        <w:t>ИНФОРМАЦИОННОЕ СОПРОВОЖДЕНИЕ КОНКУРС</w:t>
      </w:r>
      <w:r>
        <w:t>А</w:t>
      </w:r>
      <w:bookmarkEnd w:id="123"/>
      <w:bookmarkEnd w:id="124"/>
      <w:bookmarkEnd w:id="125"/>
    </w:p>
    <w:p w:rsidR="001133EC" w:rsidRDefault="00B5399F">
      <w:pPr>
        <w:pStyle w:val="1"/>
        <w:numPr>
          <w:ilvl w:val="1"/>
          <w:numId w:val="1"/>
        </w:numPr>
        <w:tabs>
          <w:tab w:val="left" w:pos="1714"/>
        </w:tabs>
        <w:ind w:left="260" w:firstLine="760"/>
        <w:jc w:val="both"/>
      </w:pPr>
      <w:bookmarkStart w:id="126" w:name="bookmark140"/>
      <w:bookmarkEnd w:id="126"/>
      <w:r>
        <w:t>Организаторы имеют право внести дополнения и изменения в условия и сроки проведения итоговых мероприятий Конкурса. Изменения, дополнения, информация о ходе проведения и итогах Конкурса публикуются на официальном сайте: территория-</w:t>
      </w:r>
      <w:proofErr w:type="spellStart"/>
      <w:r>
        <w:t>развития</w:t>
      </w:r>
      <w:proofErr w:type="gramStart"/>
      <w:r>
        <w:t>.р</w:t>
      </w:r>
      <w:proofErr w:type="gramEnd"/>
      <w:r>
        <w:t>ф</w:t>
      </w:r>
      <w:proofErr w:type="spellEnd"/>
      <w:r>
        <w:t xml:space="preserve"> и </w:t>
      </w:r>
      <w:hyperlink r:id="rId17" w:history="1">
        <w:r>
          <w:t>www.irazvi.ru</w:t>
        </w:r>
      </w:hyperlink>
      <w:r>
        <w:t>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874"/>
        </w:tabs>
        <w:ind w:left="260" w:firstLine="760"/>
        <w:jc w:val="both"/>
      </w:pPr>
      <w:bookmarkStart w:id="127" w:name="bookmark141"/>
      <w:bookmarkEnd w:id="127"/>
      <w:r>
        <w:t xml:space="preserve">Участники конкурса регистрируются на сайте </w:t>
      </w:r>
      <w:r>
        <w:rPr>
          <w:u w:val="single"/>
        </w:rPr>
        <w:t>территори</w:t>
      </w:r>
      <w:proofErr w:type="gramStart"/>
      <w:r>
        <w:rPr>
          <w:u w:val="single"/>
        </w:rPr>
        <w:t>я-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lastRenderedPageBreak/>
        <w:t>развития.рф</w:t>
      </w:r>
      <w:proofErr w:type="spellEnd"/>
      <w:r>
        <w:t xml:space="preserve"> в разделе конкурса «История местного самоуправления моего края», заполняют анкету участника и прикрепляют ссылки на конкурсные работы, размещенные на</w:t>
      </w:r>
      <w:r>
        <w:t xml:space="preserve"> любом </w:t>
      </w:r>
      <w:proofErr w:type="spellStart"/>
      <w:r>
        <w:t>файлообменном</w:t>
      </w:r>
      <w:proofErr w:type="spellEnd"/>
      <w:r>
        <w:t xml:space="preserve"> (облачном) сервисе - </w:t>
      </w:r>
      <w:r>
        <w:rPr>
          <w:u w:val="single"/>
        </w:rPr>
        <w:t>cloud.mail.ru, disk.yandex.ru</w:t>
      </w:r>
      <w:r>
        <w:t xml:space="preserve"> и др.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674"/>
        </w:tabs>
        <w:ind w:left="260" w:firstLine="760"/>
        <w:jc w:val="both"/>
      </w:pPr>
      <w:bookmarkStart w:id="128" w:name="bookmark142"/>
      <w:bookmarkEnd w:id="128"/>
      <w:r>
        <w:t xml:space="preserve">Конкурс проходит при информационной поддержке Федерального государственного бюджетного образовательного учреждения высшего образования «Российская академия народного хозяйства и </w:t>
      </w:r>
      <w:r>
        <w:t>государственной службы при Президенте Российской Федерации», Медиа-холдинга «Регионы России» и научно-практического журнала «Местное право».</w:t>
      </w:r>
    </w:p>
    <w:p w:rsidR="001133EC" w:rsidRDefault="00B5399F">
      <w:pPr>
        <w:pStyle w:val="1"/>
        <w:numPr>
          <w:ilvl w:val="1"/>
          <w:numId w:val="1"/>
        </w:numPr>
        <w:tabs>
          <w:tab w:val="left" w:pos="1709"/>
        </w:tabs>
        <w:ind w:left="260" w:firstLine="760"/>
        <w:jc w:val="both"/>
      </w:pPr>
      <w:bookmarkStart w:id="129" w:name="bookmark143"/>
      <w:bookmarkEnd w:id="129"/>
      <w:r>
        <w:t>Контактная информация Организационного комитета:</w:t>
      </w:r>
    </w:p>
    <w:p w:rsidR="001133EC" w:rsidRDefault="00B5399F">
      <w:pPr>
        <w:pStyle w:val="1"/>
        <w:ind w:left="260" w:firstLine="760"/>
        <w:jc w:val="both"/>
      </w:pPr>
      <w:r>
        <w:t>109012, Москва, Новая пл., д.8, стр.1, оф.408, тел.+7 (495) 606-86</w:t>
      </w:r>
      <w:r>
        <w:t xml:space="preserve">-40, +7(926) 878-78-25, электронная почта: </w:t>
      </w:r>
      <w:hyperlink r:id="rId18" w:history="1">
        <w:r>
          <w:t>istoria-msu@ya.ru</w:t>
        </w:r>
      </w:hyperlink>
    </w:p>
    <w:sectPr w:rsidR="001133EC">
      <w:footerReference w:type="default" r:id="rId19"/>
      <w:pgSz w:w="11900" w:h="16840"/>
      <w:pgMar w:top="355" w:right="759" w:bottom="1429" w:left="897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9F" w:rsidRDefault="00B5399F">
      <w:r>
        <w:separator/>
      </w:r>
    </w:p>
  </w:endnote>
  <w:endnote w:type="continuationSeparator" w:id="0">
    <w:p w:rsidR="00B5399F" w:rsidRDefault="00B5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EC" w:rsidRDefault="00B539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9849485</wp:posOffset>
              </wp:positionV>
              <wp:extent cx="60960" cy="1003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33EC" w:rsidRDefault="00B5399F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C61" w:rsidRPr="00650C61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1" type="#_x0000_t202" style="position:absolute;margin-left:541.2pt;margin-top:775.55pt;width:4.8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" filled="f" stroked="f">
              <v:textbox style="mso-fit-shape-to-text:t" inset="0,0,0,0">
                <w:txbxContent>
                  <w:p w:rsidR="001133EC" w:rsidRDefault="00B5399F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C61" w:rsidRPr="00650C61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EC" w:rsidRDefault="00B539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9849485</wp:posOffset>
              </wp:positionV>
              <wp:extent cx="48895" cy="9461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33EC" w:rsidRDefault="00B5399F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539.25pt;margin-top:775.55000000000007pt;width:3.8500000000000001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EC" w:rsidRDefault="00B539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6833235</wp:posOffset>
              </wp:positionH>
              <wp:positionV relativeFrom="page">
                <wp:posOffset>9849485</wp:posOffset>
              </wp:positionV>
              <wp:extent cx="118745" cy="9461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33EC" w:rsidRDefault="00B5399F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ю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538.04999999999995pt;margin-top:775.55000000000007pt;width:9.3499999999999996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9F" w:rsidRDefault="00B5399F"/>
  </w:footnote>
  <w:footnote w:type="continuationSeparator" w:id="0">
    <w:p w:rsidR="00B5399F" w:rsidRDefault="00B53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E3D"/>
    <w:multiLevelType w:val="multilevel"/>
    <w:tmpl w:val="DA6E6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104C3"/>
    <w:multiLevelType w:val="multilevel"/>
    <w:tmpl w:val="9A2062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417D1"/>
    <w:multiLevelType w:val="multilevel"/>
    <w:tmpl w:val="C7F803D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92445"/>
    <w:multiLevelType w:val="multilevel"/>
    <w:tmpl w:val="3A286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133EC"/>
    <w:rsid w:val="001133EC"/>
    <w:rsid w:val="00650C61"/>
    <w:rsid w:val="00B5399F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6"/>
      <w:szCs w:val="26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266"/>
      <w:szCs w:val="26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pacing w:after="50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">
    <w:name w:val="Заголовок №3"/>
    <w:basedOn w:val="a"/>
    <w:link w:val="31"/>
    <w:pPr>
      <w:spacing w:after="24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6"/>
      <w:szCs w:val="26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266"/>
      <w:szCs w:val="26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pacing w:after="50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">
    <w:name w:val="Заголовок №3"/>
    <w:basedOn w:val="a"/>
    <w:link w:val="31"/>
    <w:pPr>
      <w:spacing w:after="24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istoria-msu@ya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razv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zv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razvi.r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raz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sarat</cp:lastModifiedBy>
  <cp:revision>2</cp:revision>
  <dcterms:created xsi:type="dcterms:W3CDTF">2021-01-14T08:54:00Z</dcterms:created>
  <dcterms:modified xsi:type="dcterms:W3CDTF">2021-01-14T09:08:00Z</dcterms:modified>
</cp:coreProperties>
</file>