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7D" w:rsidRDefault="009679F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0" name="Рисунок 10" descr="C:\Users\uo22222\Desktop\Аналитическая справка по результатам мониторинга выявления поддержки и развития способностей и талантов у детей и молодежи за 2021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22222\Desktop\Аналитическая справка по результатам мониторинга выявления поддержки и развития способностей и талантов у детей и молодежи за 2021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C4F" w:rsidRPr="00F906FD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F906FD" w:rsidRPr="00F906FD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9679FF" w:rsidRDefault="009679FF">
      <w:pPr>
        <w:rPr>
          <w:rFonts w:ascii="Times New Roman" w:hAnsi="Times New Roman" w:cs="Times New Roman"/>
          <w:b/>
          <w:sz w:val="32"/>
          <w:szCs w:val="32"/>
        </w:rPr>
      </w:pPr>
    </w:p>
    <w:p w:rsidR="00630554" w:rsidRPr="00630554" w:rsidRDefault="00630554" w:rsidP="00630554">
      <w:pPr>
        <w:keepNext/>
        <w:keepLines/>
        <w:spacing w:after="0" w:line="259" w:lineRule="auto"/>
        <w:ind w:left="1212" w:right="65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6305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Мониторинг показателей</w:t>
      </w:r>
    </w:p>
    <w:p w:rsidR="00630554" w:rsidRPr="00630554" w:rsidRDefault="00630554" w:rsidP="00630554">
      <w:pPr>
        <w:spacing w:after="4" w:line="228" w:lineRule="auto"/>
        <w:ind w:left="50" w:right="10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сбора необходимой информации использовался метод анкетного опроса. В ходе опроса использовались вопросы: закрытые (приводится полный перечень возможных вариантов ответов); открытые вопросы (варианты ответов отсутствуют, респондент сам формулирует); полузакрытые (полуоткрытые) — синтез двух предыдущих типов (варианты ответов имеются, но можно дописать и иные ответы).</w:t>
      </w:r>
    </w:p>
    <w:p w:rsidR="00630554" w:rsidRPr="00630554" w:rsidRDefault="00630554" w:rsidP="00630554">
      <w:pPr>
        <w:spacing w:after="4" w:line="228" w:lineRule="auto"/>
        <w:ind w:left="50" w:right="100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образовательных организаций регулярно предоставляют информацию для актуализации данных в «Реестре одаренных детей».</w:t>
      </w:r>
    </w:p>
    <w:p w:rsidR="00630554" w:rsidRPr="00630554" w:rsidRDefault="00630554" w:rsidP="00630554">
      <w:pPr>
        <w:spacing w:after="30" w:line="228" w:lineRule="auto"/>
        <w:ind w:left="50" w:right="10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образования ведется постоянный учет </w:t>
      </w:r>
      <w:proofErr w:type="gram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индивидуальным учебным планам.</w:t>
      </w:r>
    </w:p>
    <w:p w:rsidR="00630554" w:rsidRPr="00630554" w:rsidRDefault="00630554" w:rsidP="00630554">
      <w:pPr>
        <w:spacing w:after="4" w:line="228" w:lineRule="auto"/>
        <w:ind w:left="50" w:right="16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оценить изменения состояние системы по работе с одарёнными детьми в организациях района, проведен повторный мониторинг в апреле 2021 года. В мониторинге приняли участие 21 образовательные организации среднего общего образования и 1 организация начального общего образования. </w:t>
      </w:r>
    </w:p>
    <w:p w:rsidR="00F906FD" w:rsidRDefault="00F906FD" w:rsidP="00EB6C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выявить следующие процентные соотношения.</w:t>
      </w:r>
    </w:p>
    <w:p w:rsidR="00F906FD" w:rsidRDefault="00F906FD" w:rsidP="00F906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100% общеобразовательных организациях  есть педагоги ответственные </w:t>
      </w:r>
      <w:r w:rsidR="009007A5">
        <w:rPr>
          <w:rFonts w:ascii="Times New Roman" w:hAnsi="Times New Roman" w:cs="Times New Roman"/>
          <w:sz w:val="28"/>
          <w:szCs w:val="28"/>
        </w:rPr>
        <w:t xml:space="preserve"> за работу с одаренными детьми.</w:t>
      </w:r>
    </w:p>
    <w:p w:rsidR="009007A5" w:rsidRDefault="009007A5" w:rsidP="00F906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общего количества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педагогов, работающих с талантливыми и способными детьми 75% прошли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подготовку по направлению «Выявление, поддержка и развитие способностей и талантов у детей и молодежи».</w:t>
      </w:r>
    </w:p>
    <w:p w:rsidR="009007A5" w:rsidRDefault="009007A5" w:rsidP="00F906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общеобразовательных организаций, прошедших мониторинг в 100% образовательных организаций проводятся мероприятия, направленные на работу с одаренными детьми.</w:t>
      </w:r>
    </w:p>
    <w:p w:rsidR="00630554" w:rsidRDefault="00630554" w:rsidP="00630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554" w:rsidRPr="00630554" w:rsidRDefault="00630554" w:rsidP="00630554">
      <w:pPr>
        <w:keepNext/>
        <w:keepLines/>
        <w:spacing w:after="0" w:line="259" w:lineRule="auto"/>
        <w:ind w:left="1212" w:right="68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05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результатов мониторинга</w:t>
      </w:r>
    </w:p>
    <w:p w:rsidR="00630554" w:rsidRPr="00630554" w:rsidRDefault="00630554" w:rsidP="00630554">
      <w:pPr>
        <w:spacing w:after="4" w:line="228" w:lineRule="auto"/>
        <w:ind w:left="50" w:right="10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проведения мониторинга показателей по выявлению, поддержке и развитию способностей и талантов у детей и молодежи были получены следующие результаты:</w:t>
      </w:r>
    </w:p>
    <w:p w:rsidR="00630554" w:rsidRPr="00630554" w:rsidRDefault="00630554" w:rsidP="00630554">
      <w:pPr>
        <w:spacing w:after="4" w:line="228" w:lineRule="auto"/>
        <w:ind w:left="50" w:right="100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13 ОО ведется системная работа по поддержке одарённых и высокомотивированных детей. Это составляет 59 % от общего числа ОО.</w:t>
      </w:r>
    </w:p>
    <w:p w:rsidR="00630554" w:rsidRPr="00630554" w:rsidRDefault="00630554" w:rsidP="00630554">
      <w:pPr>
        <w:spacing w:after="26" w:line="223" w:lineRule="auto"/>
        <w:ind w:left="57" w:right="35" w:firstLine="5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ОО нормативно-правовой документации по работе с одарёнными и высокомотивированными детьми:</w:t>
      </w:r>
    </w:p>
    <w:p w:rsidR="00630554" w:rsidRPr="00630554" w:rsidRDefault="00630554" w:rsidP="00630554">
      <w:pPr>
        <w:spacing w:after="4" w:line="228" w:lineRule="auto"/>
        <w:ind w:left="50" w:right="100" w:firstLine="9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программ: общешкольных — 22, по развитию в рамках предметной области — 125, индивидуального образовательного маршрута — 2, проектов —25, положений — 22.</w:t>
      </w:r>
    </w:p>
    <w:p w:rsidR="00630554" w:rsidRPr="00630554" w:rsidRDefault="00630554" w:rsidP="00630554">
      <w:pPr>
        <w:spacing w:after="35" w:line="228" w:lineRule="auto"/>
        <w:ind w:left="50" w:right="10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Мюрегинская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«Сергокалинская СОШ №1»,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Краснопартизанская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«Сергокалинская СОШ №2», </w:t>
      </w:r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МКОУ «Нижнемахаргинская СОШ им. Сулейманова Х.Г.» — в наличии программы, план, проекты, положения.</w:t>
      </w:r>
    </w:p>
    <w:p w:rsidR="00630554" w:rsidRPr="00630554" w:rsidRDefault="00630554" w:rsidP="00630554">
      <w:pPr>
        <w:spacing w:after="35" w:line="228" w:lineRule="auto"/>
        <w:ind w:left="50" w:right="10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МКОУ «Аялизимахинская СОШ им. Абдуллаева Б.Ю.»,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Мургукская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им.Р.Р.Шахнавазовой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Урахинская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им. А. А. </w:t>
      </w:r>
      <w:proofErr w:type="gram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Тахо-Годи</w:t>
      </w:r>
      <w:proofErr w:type="gram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МКОУ «Нижнемулебкинская СОШ», МКОУ «Бурдекинская СОШ»,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Кичигамринская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- в наличии неполный перечень документов (отсутствует одна позиция).</w:t>
      </w:r>
    </w:p>
    <w:p w:rsidR="00630554" w:rsidRPr="00630554" w:rsidRDefault="00630554" w:rsidP="00630554">
      <w:pPr>
        <w:spacing w:after="35" w:line="228" w:lineRule="auto"/>
        <w:ind w:left="50" w:right="10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Дегвинская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Балтамахинская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«Ванашимахинская СОШ им. С. 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Омарова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Кадиркентская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в МКОУ «Маммаульская СОШ»,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Миглакасимахинская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«Бурхимахинская СОШ», МКОУ «Канасирагинская СОШ», МКОУ «Аймаумахинская СОШ»,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Новомугринская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отсутствует полный пакет нормативно-правовых документов, в наличии неполный комплект (отсутствует 2-3 позиции).</w:t>
      </w:r>
    </w:p>
    <w:p w:rsidR="00630554" w:rsidRPr="00630554" w:rsidRDefault="00630554" w:rsidP="00630554">
      <w:pPr>
        <w:spacing w:after="4" w:line="228" w:lineRule="auto"/>
        <w:ind w:left="50" w:right="10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ОО ведется работа по выявлению, поддержки, развитию способностей и талантов у детей и молодежи, психолого-педагогическому сопровождению способных детей и талантливой молодежи.</w:t>
      </w:r>
    </w:p>
    <w:p w:rsidR="00630554" w:rsidRPr="00630554" w:rsidRDefault="00630554" w:rsidP="00630554">
      <w:pPr>
        <w:spacing w:after="41" w:line="228" w:lineRule="auto"/>
        <w:ind w:left="50" w:right="10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44A48DCE" wp14:editId="77E0FC63">
            <wp:simplePos x="0" y="0"/>
            <wp:positionH relativeFrom="column">
              <wp:posOffset>6327648</wp:posOffset>
            </wp:positionH>
            <wp:positionV relativeFrom="paragraph">
              <wp:posOffset>607399</wp:posOffset>
            </wp:positionV>
            <wp:extent cx="4572" cy="4573"/>
            <wp:effectExtent l="0" t="0" r="0" b="0"/>
            <wp:wrapSquare wrapText="bothSides"/>
            <wp:docPr id="8" name="Picture 4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5" name="Picture 42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разработки индивидуальных «образовательных маршрутов» с учетом специфики одаренности ребенка: </w:t>
      </w:r>
      <w:proofErr w:type="gram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Мюрегинская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«Сергокалинская СОШ №1», МКОУ «Сергокалинская СОШ №2», (спортивной, </w:t>
      </w:r>
      <w:r w:rsidRPr="006305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3F5908" wp14:editId="52472D25">
            <wp:extent cx="36576" cy="13717"/>
            <wp:effectExtent l="0" t="0" r="0" b="0"/>
            <wp:docPr id="9" name="Picture 4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4" name="Picture 42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интеллектуальной, творческой), МКОУ «Аймаумахинская СОШ», МКОУ «Аялизимахинская СОШ им. Абдуллаева Б.Ю.»,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Мургукская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им.Р.Р.Шахнавазовой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МКОУ «Бурдекинская СОШ»,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Кичигамринская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(интеллектуальной, творческой), МКОУ «Нижнемахаргинская СОШ  им. Сулейманова Х.Г.»МКОУ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Краснопартизанская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(спортивной, интеллектуальной),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Миглакасимахинская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Урахинская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 им. А. А.</w:t>
      </w:r>
      <w:proofErr w:type="gram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Тахо-Годи</w:t>
      </w:r>
      <w:proofErr w:type="gram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МКОУ «Маммаульская СОШ» (интеллектуальной),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Новомугринская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«Нижнемулебкинская СОШ» (спортивной).</w:t>
      </w:r>
    </w:p>
    <w:p w:rsidR="00630554" w:rsidRPr="00630554" w:rsidRDefault="00630554" w:rsidP="00630554">
      <w:pPr>
        <w:spacing w:after="4" w:line="228" w:lineRule="auto"/>
        <w:ind w:left="50" w:right="100" w:firstLine="13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работы с одарёнными детьми: </w:t>
      </w:r>
    </w:p>
    <w:p w:rsidR="00630554" w:rsidRPr="00630554" w:rsidRDefault="00630554" w:rsidP="00630554">
      <w:pPr>
        <w:numPr>
          <w:ilvl w:val="0"/>
          <w:numId w:val="8"/>
        </w:numPr>
        <w:spacing w:after="4" w:line="228" w:lineRule="auto"/>
        <w:ind w:left="426" w:right="1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сообщество учащихся - в 3 ОО (13,6%)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Мюрегинская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«Сергокалинская СОШ №1» и МКОУ «Сергокалинская СОШ №2»;</w:t>
      </w:r>
    </w:p>
    <w:p w:rsidR="00630554" w:rsidRPr="00630554" w:rsidRDefault="00630554" w:rsidP="00630554">
      <w:pPr>
        <w:numPr>
          <w:ilvl w:val="0"/>
          <w:numId w:val="8"/>
        </w:numPr>
        <w:spacing w:after="4" w:line="228" w:lineRule="auto"/>
        <w:ind w:left="426" w:right="1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олимпиадные кружки – 30 кружков с охватом 461 учащихся из 12 школ (54,5% школ): МКОУ «Сергокалинская СОШ №2»,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Мюрегинская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Новомугринская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Краснопартизанская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Миглакасимахинская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"Аялизимахинская СОШ", МКОУ "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Мургукская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СОШ", МКОУ "Бурдекинская СОШ", МКОУ "Аймаумахинская СОШ", МКОУ "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Кичигамринская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СОШ", МКОУ "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Кадиркентская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СОШ", МКОУ «Сергокалинская СОШ №1» (отсутствуют олимпиадные кружки в 10 ОО);</w:t>
      </w:r>
    </w:p>
    <w:p w:rsidR="00630554" w:rsidRPr="00630554" w:rsidRDefault="00630554" w:rsidP="00630554">
      <w:pPr>
        <w:numPr>
          <w:ilvl w:val="0"/>
          <w:numId w:val="8"/>
        </w:numPr>
        <w:spacing w:after="4" w:line="228" w:lineRule="auto"/>
        <w:ind w:left="426" w:right="1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ученическое самоуправление - в 16 ОО (72,7%)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Мюрегинская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«Сергокалинская СОШ №1», МКОУ «Сергокалинская СОШ №2», МКОУ «Аялизимахинская СОШ им. Абдуллаева Б.Ю.»,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Краснопартизанская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Мургукская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им.Р.Р.Шахнавазовой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Урахинская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им. А. А. Тахо-Годи», МКОУ «Нижнемулебкинская СОШ», МКОУ «Бурдекинская СОШ»,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Кичигамринская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«Нижнемахаргинская СОШ им. Сулейманова Х.Г.», МКОУ «Маммаульская СОШ</w:t>
      </w:r>
      <w:proofErr w:type="gram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МКОУ «Аймаумахинская СОШ», МКОУ «Ванашимахинская СОШ  им. С. 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Омарова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Миглакасимахинская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СОШ»;</w:t>
      </w:r>
    </w:p>
    <w:p w:rsidR="00630554" w:rsidRPr="00630554" w:rsidRDefault="00630554" w:rsidP="00630554">
      <w:pPr>
        <w:numPr>
          <w:ilvl w:val="0"/>
          <w:numId w:val="8"/>
        </w:numPr>
        <w:spacing w:after="4" w:line="228" w:lineRule="auto"/>
        <w:ind w:left="426" w:right="1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ученическое самоуправление отсутствует в 6 ОО (27%): МКОУ «Бурхимахинская СОШ», МКОУ «Канасирагинская СОШ»,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Новомугринская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Дегвинская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Балтамахинская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Кадиркентская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СОШ».</w:t>
      </w:r>
    </w:p>
    <w:p w:rsidR="00630554" w:rsidRPr="00630554" w:rsidRDefault="00630554" w:rsidP="00630554">
      <w:pPr>
        <w:numPr>
          <w:ilvl w:val="0"/>
          <w:numId w:val="8"/>
        </w:numPr>
        <w:spacing w:after="4" w:line="228" w:lineRule="auto"/>
        <w:ind w:left="426" w:right="1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общественные организации - во всех ОО.</w:t>
      </w:r>
    </w:p>
    <w:p w:rsidR="00630554" w:rsidRPr="00630554" w:rsidRDefault="00630554" w:rsidP="00630554">
      <w:pPr>
        <w:spacing w:after="27" w:line="228" w:lineRule="auto"/>
        <w:ind w:left="50" w:right="10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общего числа обучающихся 3605 привлечены к участию в данных формах 2228 учащихся.</w:t>
      </w:r>
      <w:proofErr w:type="gramEnd"/>
    </w:p>
    <w:p w:rsidR="00630554" w:rsidRDefault="00630554" w:rsidP="00630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554" w:rsidRPr="00630554" w:rsidRDefault="00630554" w:rsidP="00630554">
      <w:pPr>
        <w:spacing w:after="4" w:line="228" w:lineRule="auto"/>
        <w:ind w:left="50" w:right="10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2018-2019 учебном году на республиканский этап 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приглашены 38 учащихся. В 2019-2020 учебном году количество приглашенных учащихся на республиканский этап составило 64. В 2020-2021 учебном году количество приглашенных учащихся на республиканский этап составило 67, явилось - 40. Из 67 учащихся на республиканский этап 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явилось 27 учащихся: 8 учащихся МКОУ «Сергокалинская СОШ №1»,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Мюрегинская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- 7», МКОУ «Нижнемулебкинская СОШ» - 3,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Новомугринская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- 3, МКОУ «Бурхимахинская СОШ» - 2, МКОУ «Сергокалинская СОШ №2»,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Мургукская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«Канасирагинская СОШ», МКОУ «</w:t>
      </w:r>
      <w:proofErr w:type="spellStart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Миглакасимахинская</w:t>
      </w:r>
      <w:proofErr w:type="spellEnd"/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- 1.</w:t>
      </w:r>
    </w:p>
    <w:p w:rsidR="00630554" w:rsidRPr="00630554" w:rsidRDefault="00630554" w:rsidP="00630554">
      <w:pPr>
        <w:jc w:val="both"/>
        <w:rPr>
          <w:rFonts w:ascii="Times New Roman" w:hAnsi="Times New Roman" w:cs="Times New Roman"/>
          <w:sz w:val="28"/>
          <w:szCs w:val="28"/>
        </w:rPr>
      </w:pPr>
      <w:r w:rsidRPr="0063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учащихся не смогли принять участие по уважительной причине.   Из принявших участие 40 учащихся 7 стали призерами регионального этапа.</w:t>
      </w:r>
    </w:p>
    <w:p w:rsidR="004B7AD7" w:rsidRDefault="004B7AD7" w:rsidP="004B7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07A5" w:rsidRDefault="009007A5" w:rsidP="009007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7A5">
        <w:rPr>
          <w:rFonts w:ascii="Times New Roman" w:hAnsi="Times New Roman" w:cs="Times New Roman"/>
          <w:b/>
          <w:sz w:val="28"/>
          <w:szCs w:val="28"/>
        </w:rPr>
        <w:t xml:space="preserve">Адресные рекомендации для ОУ </w:t>
      </w:r>
      <w:r>
        <w:rPr>
          <w:rFonts w:ascii="Times New Roman" w:hAnsi="Times New Roman" w:cs="Times New Roman"/>
          <w:b/>
          <w:sz w:val="28"/>
          <w:szCs w:val="28"/>
        </w:rPr>
        <w:t>по результатам мониторинга:</w:t>
      </w:r>
    </w:p>
    <w:p w:rsidR="004D072C" w:rsidRDefault="004D072C" w:rsidP="009007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72C" w:rsidRDefault="004D072C" w:rsidP="009007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72C" w:rsidRPr="004D072C" w:rsidRDefault="004D072C" w:rsidP="004D072C">
      <w:pPr>
        <w:numPr>
          <w:ilvl w:val="0"/>
          <w:numId w:val="4"/>
        </w:numPr>
        <w:spacing w:after="0" w:line="22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72C">
        <w:rPr>
          <w:rFonts w:ascii="Times New Roman" w:eastAsia="Calibri" w:hAnsi="Times New Roman" w:cs="Times New Roman"/>
          <w:sz w:val="28"/>
          <w:szCs w:val="28"/>
        </w:rPr>
        <w:t>Очень слабую работу по подготовке школьников к предметным олимпиадам провели руководители и педагоги МКОУ «Ванашимахинская СОШ» (Магомедова С.А.) и МКОУ «</w:t>
      </w:r>
      <w:proofErr w:type="spellStart"/>
      <w:r w:rsidRPr="004D072C">
        <w:rPr>
          <w:rFonts w:ascii="Times New Roman" w:eastAsia="Calibri" w:hAnsi="Times New Roman" w:cs="Times New Roman"/>
          <w:sz w:val="28"/>
          <w:szCs w:val="28"/>
        </w:rPr>
        <w:t>Кадиркентская</w:t>
      </w:r>
      <w:proofErr w:type="spellEnd"/>
      <w:r w:rsidRPr="004D072C">
        <w:rPr>
          <w:rFonts w:ascii="Times New Roman" w:eastAsia="Calibri" w:hAnsi="Times New Roman" w:cs="Times New Roman"/>
          <w:sz w:val="28"/>
          <w:szCs w:val="28"/>
        </w:rPr>
        <w:t xml:space="preserve"> СОШ» (Юсупов И.М.), учащиеся которых набрали по три призовых мест.</w:t>
      </w:r>
    </w:p>
    <w:p w:rsidR="004D072C" w:rsidRPr="004D072C" w:rsidRDefault="004D072C" w:rsidP="004D072C">
      <w:pPr>
        <w:numPr>
          <w:ilvl w:val="0"/>
          <w:numId w:val="4"/>
        </w:numPr>
        <w:spacing w:after="4" w:line="22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72C">
        <w:rPr>
          <w:rFonts w:ascii="Times New Roman" w:eastAsia="Calibri" w:hAnsi="Times New Roman" w:cs="Times New Roman"/>
          <w:sz w:val="28"/>
          <w:szCs w:val="28"/>
        </w:rPr>
        <w:t>Недостаточную работу провели педагоги МКОУ «</w:t>
      </w:r>
      <w:proofErr w:type="spellStart"/>
      <w:r w:rsidRPr="004D072C">
        <w:rPr>
          <w:rFonts w:ascii="Times New Roman" w:eastAsia="Calibri" w:hAnsi="Times New Roman" w:cs="Times New Roman"/>
          <w:sz w:val="28"/>
          <w:szCs w:val="28"/>
        </w:rPr>
        <w:t>Дегвинская</w:t>
      </w:r>
      <w:proofErr w:type="spellEnd"/>
      <w:r w:rsidRPr="004D072C">
        <w:rPr>
          <w:rFonts w:ascii="Times New Roman" w:eastAsia="Calibri" w:hAnsi="Times New Roman" w:cs="Times New Roman"/>
          <w:sz w:val="28"/>
          <w:szCs w:val="28"/>
        </w:rPr>
        <w:t xml:space="preserve"> СОШ» и МКОУ «</w:t>
      </w:r>
      <w:proofErr w:type="spellStart"/>
      <w:r w:rsidRPr="004D072C">
        <w:rPr>
          <w:rFonts w:ascii="Times New Roman" w:eastAsia="Calibri" w:hAnsi="Times New Roman" w:cs="Times New Roman"/>
          <w:sz w:val="28"/>
          <w:szCs w:val="28"/>
        </w:rPr>
        <w:t>Балтамахинская</w:t>
      </w:r>
      <w:proofErr w:type="spellEnd"/>
      <w:r w:rsidRPr="004D072C">
        <w:rPr>
          <w:rFonts w:ascii="Times New Roman" w:eastAsia="Calibri" w:hAnsi="Times New Roman" w:cs="Times New Roman"/>
          <w:sz w:val="28"/>
          <w:szCs w:val="28"/>
        </w:rPr>
        <w:t xml:space="preserve"> СОШ» (набрали от 4 до 8 призовых мест).</w:t>
      </w:r>
    </w:p>
    <w:p w:rsidR="004D072C" w:rsidRDefault="004D072C" w:rsidP="009007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B8C" w:rsidRPr="004D072C" w:rsidRDefault="009007A5" w:rsidP="004D072C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72C">
        <w:rPr>
          <w:rFonts w:ascii="Times New Roman" w:hAnsi="Times New Roman" w:cs="Times New Roman"/>
          <w:sz w:val="28"/>
          <w:szCs w:val="28"/>
        </w:rPr>
        <w:t xml:space="preserve">Рекомендовать   </w:t>
      </w:r>
      <w:r w:rsidR="004D072C" w:rsidRPr="004D072C">
        <w:rPr>
          <w:rFonts w:ascii="Times New Roman" w:hAnsi="Times New Roman" w:cs="Times New Roman"/>
          <w:sz w:val="28"/>
          <w:szCs w:val="28"/>
        </w:rPr>
        <w:t>МКОУ «Ванашимахинская СОШ»  и МКОУ «</w:t>
      </w:r>
      <w:proofErr w:type="spellStart"/>
      <w:r w:rsidR="004D072C" w:rsidRPr="004D072C">
        <w:rPr>
          <w:rFonts w:ascii="Times New Roman" w:hAnsi="Times New Roman" w:cs="Times New Roman"/>
          <w:sz w:val="28"/>
          <w:szCs w:val="28"/>
        </w:rPr>
        <w:t>Кадиркентская</w:t>
      </w:r>
      <w:proofErr w:type="spellEnd"/>
      <w:r w:rsidR="004D072C" w:rsidRPr="004D072C">
        <w:rPr>
          <w:rFonts w:ascii="Times New Roman" w:hAnsi="Times New Roman" w:cs="Times New Roman"/>
          <w:sz w:val="28"/>
          <w:szCs w:val="28"/>
        </w:rPr>
        <w:t xml:space="preserve"> СОШ</w:t>
      </w:r>
      <w:r w:rsidR="004D072C">
        <w:rPr>
          <w:rFonts w:ascii="Times New Roman" w:hAnsi="Times New Roman" w:cs="Times New Roman"/>
          <w:sz w:val="28"/>
          <w:szCs w:val="28"/>
        </w:rPr>
        <w:t>,</w:t>
      </w:r>
      <w:r w:rsidR="004D072C" w:rsidRPr="004D072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D072C" w:rsidRPr="004D072C">
        <w:rPr>
          <w:rFonts w:ascii="Times New Roman" w:eastAsia="Calibri" w:hAnsi="Times New Roman" w:cs="Times New Roman"/>
          <w:sz w:val="28"/>
          <w:szCs w:val="28"/>
        </w:rPr>
        <w:t>Дегвинская</w:t>
      </w:r>
      <w:proofErr w:type="spellEnd"/>
      <w:r w:rsidR="004D072C" w:rsidRPr="004D072C">
        <w:rPr>
          <w:rFonts w:ascii="Times New Roman" w:eastAsia="Calibri" w:hAnsi="Times New Roman" w:cs="Times New Roman"/>
          <w:sz w:val="28"/>
          <w:szCs w:val="28"/>
        </w:rPr>
        <w:t xml:space="preserve"> СОШ» и МКОУ «</w:t>
      </w:r>
      <w:proofErr w:type="spellStart"/>
      <w:r w:rsidR="004D072C" w:rsidRPr="004D072C">
        <w:rPr>
          <w:rFonts w:ascii="Times New Roman" w:eastAsia="Calibri" w:hAnsi="Times New Roman" w:cs="Times New Roman"/>
          <w:sz w:val="28"/>
          <w:szCs w:val="28"/>
        </w:rPr>
        <w:t>Балтамахинская</w:t>
      </w:r>
      <w:proofErr w:type="spellEnd"/>
      <w:r w:rsidR="004D072C" w:rsidRPr="004D072C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  <w:r w:rsidR="004D072C" w:rsidRPr="004D072C">
        <w:t xml:space="preserve"> </w:t>
      </w:r>
      <w:r w:rsidR="004D072C" w:rsidRPr="004D072C">
        <w:rPr>
          <w:rFonts w:ascii="Times New Roman" w:hAnsi="Times New Roman" w:cs="Times New Roman"/>
          <w:sz w:val="28"/>
          <w:szCs w:val="28"/>
        </w:rPr>
        <w:t xml:space="preserve">провести тщательный анализ итогов </w:t>
      </w:r>
      <w:proofErr w:type="spellStart"/>
      <w:r w:rsidR="004D072C" w:rsidRPr="004D072C">
        <w:rPr>
          <w:rFonts w:ascii="Times New Roman" w:hAnsi="Times New Roman" w:cs="Times New Roman"/>
          <w:sz w:val="28"/>
          <w:szCs w:val="28"/>
        </w:rPr>
        <w:t>ВсО</w:t>
      </w:r>
      <w:r w:rsidR="004D072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4D072C">
        <w:rPr>
          <w:rFonts w:ascii="Times New Roman" w:hAnsi="Times New Roman" w:cs="Times New Roman"/>
          <w:sz w:val="28"/>
          <w:szCs w:val="28"/>
        </w:rPr>
        <w:t xml:space="preserve">, </w:t>
      </w:r>
      <w:r w:rsidR="004D072C">
        <w:rPr>
          <w:rFonts w:ascii="Times New Roman" w:hAnsi="Times New Roman" w:cs="Times New Roman"/>
          <w:sz w:val="28"/>
          <w:szCs w:val="28"/>
        </w:rPr>
        <w:lastRenderedPageBreak/>
        <w:t>проанализировать свою работу</w:t>
      </w:r>
      <w:r w:rsidRPr="004D072C">
        <w:rPr>
          <w:rFonts w:ascii="Times New Roman" w:hAnsi="Times New Roman" w:cs="Times New Roman"/>
          <w:sz w:val="28"/>
          <w:szCs w:val="28"/>
        </w:rPr>
        <w:t xml:space="preserve"> для организации</w:t>
      </w:r>
      <w:r w:rsidR="00BF5B8C" w:rsidRPr="004D072C">
        <w:rPr>
          <w:rFonts w:ascii="Times New Roman" w:hAnsi="Times New Roman" w:cs="Times New Roman"/>
          <w:sz w:val="28"/>
          <w:szCs w:val="28"/>
        </w:rPr>
        <w:t xml:space="preserve"> комплексной работы по поддержк</w:t>
      </w:r>
      <w:r w:rsidRPr="004D072C">
        <w:rPr>
          <w:rFonts w:ascii="Times New Roman" w:hAnsi="Times New Roman" w:cs="Times New Roman"/>
          <w:sz w:val="28"/>
          <w:szCs w:val="28"/>
        </w:rPr>
        <w:t>и развития способностей и талантов у детей и молодежи.</w:t>
      </w:r>
      <w:r w:rsidR="004D072C" w:rsidRPr="004D072C">
        <w:rPr>
          <w:rFonts w:ascii="Times New Roman" w:eastAsia="Calibri" w:hAnsi="Times New Roman" w:cs="Times New Roman"/>
          <w:sz w:val="28"/>
          <w:szCs w:val="28"/>
        </w:rPr>
        <w:t xml:space="preserve"> Усилить работу, проводимую с одаренными детьми по таким предметам, как химия, экономика, физика, информатика и по русск</w:t>
      </w:r>
      <w:r w:rsidR="004D072C">
        <w:rPr>
          <w:rFonts w:ascii="Times New Roman" w:eastAsia="Calibri" w:hAnsi="Times New Roman" w:cs="Times New Roman"/>
          <w:sz w:val="28"/>
          <w:szCs w:val="28"/>
        </w:rPr>
        <w:t>ому  языку.</w:t>
      </w:r>
    </w:p>
    <w:p w:rsidR="00BF5B8C" w:rsidRPr="004B7AD7" w:rsidRDefault="004B7AD7" w:rsidP="004B7AD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4D072C" w:rsidRPr="004B7AD7">
        <w:rPr>
          <w:rFonts w:ascii="Times New Roman" w:hAnsi="Times New Roman" w:cs="Times New Roman"/>
          <w:sz w:val="28"/>
          <w:szCs w:val="28"/>
        </w:rPr>
        <w:t xml:space="preserve">Выше названным ОУ </w:t>
      </w:r>
      <w:r w:rsidR="00BF5B8C" w:rsidRPr="004B7AD7">
        <w:rPr>
          <w:rFonts w:ascii="Times New Roman" w:hAnsi="Times New Roman" w:cs="Times New Roman"/>
          <w:sz w:val="28"/>
          <w:szCs w:val="28"/>
        </w:rPr>
        <w:t xml:space="preserve">направить педагогов на подготовку по направлению «Выявление, поддержка и развитие способностей и талантов у детей и молодежи»  с целью повышения профессиональной компетенции педагогических работников </w:t>
      </w:r>
      <w:r w:rsidR="003C6ACF" w:rsidRPr="004B7AD7">
        <w:rPr>
          <w:rFonts w:ascii="Times New Roman" w:hAnsi="Times New Roman" w:cs="Times New Roman"/>
          <w:sz w:val="28"/>
          <w:szCs w:val="28"/>
        </w:rPr>
        <w:t>в рамках работы с талантливыми детьми.</w:t>
      </w:r>
      <w:proofErr w:type="gramEnd"/>
    </w:p>
    <w:p w:rsidR="004B7AD7" w:rsidRDefault="004B7AD7" w:rsidP="004B7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AD7" w:rsidRDefault="004B7AD7" w:rsidP="004B7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AD7" w:rsidRPr="004B7AD7" w:rsidRDefault="004B7AD7" w:rsidP="004B7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AD7" w:rsidRPr="004B7AD7" w:rsidRDefault="004B7AD7" w:rsidP="004B7AD7">
      <w:pPr>
        <w:tabs>
          <w:tab w:val="left" w:pos="567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7AD7">
        <w:rPr>
          <w:rFonts w:ascii="Times New Roman" w:eastAsia="Calibri" w:hAnsi="Times New Roman" w:cs="Times New Roman"/>
          <w:b/>
          <w:sz w:val="28"/>
          <w:szCs w:val="28"/>
        </w:rPr>
        <w:t>Управленческие решения</w:t>
      </w:r>
    </w:p>
    <w:p w:rsidR="004B7AD7" w:rsidRPr="004B7AD7" w:rsidRDefault="004B7AD7" w:rsidP="004B7AD7">
      <w:pPr>
        <w:tabs>
          <w:tab w:val="left" w:pos="567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7AD7">
        <w:rPr>
          <w:rFonts w:ascii="Times New Roman" w:eastAsia="Calibri" w:hAnsi="Times New Roman" w:cs="Times New Roman"/>
          <w:b/>
          <w:sz w:val="28"/>
          <w:szCs w:val="28"/>
        </w:rPr>
        <w:t>Совещание руководителей образовательных организаций постановило:</w:t>
      </w:r>
    </w:p>
    <w:p w:rsidR="004B7AD7" w:rsidRPr="004B7AD7" w:rsidRDefault="004B7AD7" w:rsidP="004B7AD7">
      <w:pPr>
        <w:numPr>
          <w:ilvl w:val="1"/>
          <w:numId w:val="5"/>
        </w:numPr>
        <w:spacing w:after="0" w:line="228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AD7">
        <w:rPr>
          <w:rFonts w:ascii="Times New Roman" w:eastAsia="Calibri" w:hAnsi="Times New Roman" w:cs="Times New Roman"/>
          <w:sz w:val="28"/>
          <w:szCs w:val="28"/>
        </w:rPr>
        <w:t>Провести глубокий анализ результатов муниципального этапа предметных олимпиад и разработать программу по качественному улучшению системы подготовки к олимпиадам одаренных детей.</w:t>
      </w:r>
    </w:p>
    <w:p w:rsidR="004B7AD7" w:rsidRPr="004B7AD7" w:rsidRDefault="004B7AD7" w:rsidP="004B7AD7">
      <w:pPr>
        <w:numPr>
          <w:ilvl w:val="1"/>
          <w:numId w:val="5"/>
        </w:numPr>
        <w:spacing w:after="0" w:line="228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AD7">
        <w:rPr>
          <w:rFonts w:ascii="Times New Roman" w:eastAsia="Calibri" w:hAnsi="Times New Roman" w:cs="Times New Roman"/>
          <w:sz w:val="28"/>
          <w:szCs w:val="28"/>
        </w:rPr>
        <w:t>Обеспечить создание в каждой школе необходимых условий для учащихся, проявляющих интерес к углубленному изучению предметов через предметные кружки, индивидуальные занятия и т.д.</w:t>
      </w:r>
    </w:p>
    <w:p w:rsidR="004B7AD7" w:rsidRPr="004B7AD7" w:rsidRDefault="004B7AD7" w:rsidP="004B7AD7">
      <w:pPr>
        <w:numPr>
          <w:ilvl w:val="1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AD7">
        <w:rPr>
          <w:rFonts w:ascii="Times New Roman" w:eastAsia="Calibri" w:hAnsi="Times New Roman" w:cs="Times New Roman"/>
          <w:sz w:val="28"/>
          <w:szCs w:val="28"/>
        </w:rPr>
        <w:t xml:space="preserve"> Проанализировать состояние преподавания в школах химии, английского языка, русского языка, географии, математики, информатики и принять меры по улучшению качества преподавания этих предметов.</w:t>
      </w:r>
    </w:p>
    <w:p w:rsidR="004B7AD7" w:rsidRPr="004B7AD7" w:rsidRDefault="004B7AD7" w:rsidP="004B7AD7">
      <w:pPr>
        <w:numPr>
          <w:ilvl w:val="1"/>
          <w:numId w:val="5"/>
        </w:numPr>
        <w:spacing w:after="0" w:line="228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AD7">
        <w:rPr>
          <w:rFonts w:ascii="Times New Roman" w:eastAsia="Calibri" w:hAnsi="Times New Roman" w:cs="Times New Roman"/>
          <w:sz w:val="28"/>
          <w:szCs w:val="28"/>
        </w:rPr>
        <w:t>Сформировать банк данных на «Одаренных детей» и портфолио на каждого одаренного ребенка и улучшить работу, проводимую с ними.</w:t>
      </w:r>
    </w:p>
    <w:p w:rsidR="004B7AD7" w:rsidRPr="004B7AD7" w:rsidRDefault="004B7AD7" w:rsidP="004B7AD7">
      <w:pPr>
        <w:numPr>
          <w:ilvl w:val="1"/>
          <w:numId w:val="5"/>
        </w:numPr>
        <w:spacing w:after="0" w:line="228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AD7">
        <w:rPr>
          <w:rFonts w:ascii="Times New Roman" w:eastAsia="Calibri" w:hAnsi="Times New Roman" w:cs="Times New Roman"/>
          <w:sz w:val="28"/>
          <w:szCs w:val="28"/>
        </w:rPr>
        <w:t xml:space="preserve"> Существенно изменить содержание, формы работу с одаренными детьми.</w:t>
      </w:r>
    </w:p>
    <w:p w:rsidR="004B7AD7" w:rsidRPr="004B7AD7" w:rsidRDefault="004B7AD7" w:rsidP="004B7AD7">
      <w:pPr>
        <w:numPr>
          <w:ilvl w:val="1"/>
          <w:numId w:val="5"/>
        </w:numPr>
        <w:spacing w:after="0" w:line="228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AD7">
        <w:rPr>
          <w:rFonts w:ascii="Times New Roman" w:eastAsia="Calibri" w:hAnsi="Times New Roman" w:cs="Times New Roman"/>
          <w:sz w:val="28"/>
          <w:szCs w:val="28"/>
        </w:rPr>
        <w:t xml:space="preserve"> Выстроить процесс выявления одаренных детей через конкурсы и олимпиады.</w:t>
      </w:r>
    </w:p>
    <w:p w:rsidR="004B7AD7" w:rsidRPr="004B7AD7" w:rsidRDefault="004B7AD7" w:rsidP="004B7AD7">
      <w:pPr>
        <w:spacing w:after="4" w:line="228" w:lineRule="auto"/>
        <w:ind w:left="50" w:right="10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2020/2021 учебном году в 17 ОО проводились мероприятия для педагогических работников по проблемам работы с одаренными детьми.</w:t>
      </w:r>
    </w:p>
    <w:p w:rsidR="004B7AD7" w:rsidRPr="004B7AD7" w:rsidRDefault="004B7AD7" w:rsidP="004B7AD7">
      <w:pPr>
        <w:spacing w:after="4" w:line="228" w:lineRule="auto"/>
        <w:ind w:left="50" w:right="10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используемыми формами работы с родителями по вопросам выявления, поддержки и развития способностей и талантов у детей и молодежи: родительские всеобучи, родительские собрания, беседы, индивидуальное и групповое консультирование, всеобуч, тематические родительские собрания, психолого-педагогическое сопровождение семьи.</w:t>
      </w:r>
    </w:p>
    <w:p w:rsidR="004B7AD7" w:rsidRPr="004B7AD7" w:rsidRDefault="004B7AD7" w:rsidP="004B7AD7">
      <w:pPr>
        <w:spacing w:after="24" w:line="259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38C94D" wp14:editId="408F9638">
            <wp:extent cx="4572" cy="4572"/>
            <wp:effectExtent l="0" t="0" r="0" b="0"/>
            <wp:docPr id="1" name="Picture 6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1" name="Picture 688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13 ОО (59%) ведется работа по выявлению и развитию способностей и талантов обучающихся с ОВЗ.</w:t>
      </w:r>
    </w:p>
    <w:p w:rsidR="004B7AD7" w:rsidRPr="004B7AD7" w:rsidRDefault="004B7AD7" w:rsidP="004B7AD7">
      <w:pPr>
        <w:spacing w:after="239" w:line="228" w:lineRule="auto"/>
        <w:ind w:left="50" w:right="10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Опыт вовлечения в систему работы с одаренными детьми и </w:t>
      </w:r>
      <w:proofErr w:type="gramStart"/>
      <w:r w:rsidRPr="004B7A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подростками</w:t>
      </w:r>
      <w:proofErr w:type="gramEnd"/>
      <w:r w:rsidRPr="004B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относящимися к числу социально-неблагополучных, детей «группы риска» имеется в МКОУ «</w:t>
      </w:r>
      <w:proofErr w:type="spellStart"/>
      <w:r w:rsidRPr="004B7AD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Урахинская</w:t>
      </w:r>
      <w:proofErr w:type="spellEnd"/>
      <w:r w:rsidRPr="004B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МКОУ «Сергокалинская СОШ №2», МКОУ «Бурхимахинская СОШ».</w:t>
      </w:r>
    </w:p>
    <w:p w:rsidR="004B7AD7" w:rsidRPr="004B7AD7" w:rsidRDefault="004B7AD7" w:rsidP="004B7AD7">
      <w:pPr>
        <w:spacing w:after="66" w:line="228" w:lineRule="auto"/>
        <w:ind w:left="821" w:right="2513" w:firstLine="327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Меры, мероприятия</w:t>
      </w:r>
    </w:p>
    <w:p w:rsidR="004B7AD7" w:rsidRPr="004B7AD7" w:rsidRDefault="004B7AD7" w:rsidP="004B7AD7">
      <w:pPr>
        <w:spacing w:after="66" w:line="228" w:lineRule="auto"/>
        <w:ind w:left="821" w:right="2513" w:firstLine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поощрения одарённых детей:</w:t>
      </w:r>
    </w:p>
    <w:p w:rsidR="004B7AD7" w:rsidRPr="004B7AD7" w:rsidRDefault="004B7AD7" w:rsidP="004B7AD7">
      <w:pPr>
        <w:spacing w:after="97" w:line="228" w:lineRule="auto"/>
        <w:ind w:left="50" w:right="10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основном это традиционные формы, например, грамоты, дипломы, благодарственные письма, ценные подарки, информация на школьном стенде и т.д. </w:t>
      </w:r>
    </w:p>
    <w:p w:rsidR="004B7AD7" w:rsidRPr="004B7AD7" w:rsidRDefault="004B7AD7" w:rsidP="004B7AD7">
      <w:pPr>
        <w:spacing w:after="4" w:line="228" w:lineRule="auto"/>
        <w:ind w:left="-14" w:right="100" w:firstLine="7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учебных экскурсий, выездных занятий, </w:t>
      </w:r>
      <w:proofErr w:type="spellStart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вебинаров</w:t>
      </w:r>
      <w:proofErr w:type="spellEnd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обмен </w:t>
      </w:r>
      <w:r w:rsidRPr="004B7A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82B6F0" wp14:editId="34B0F1CD">
            <wp:extent cx="9144" cy="9144"/>
            <wp:effectExtent l="0" t="0" r="0" b="0"/>
            <wp:docPr id="2" name="Picture 6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7" name="Picture 688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методическими разработками, разработка программ, участие в олимпиадах, в научно-практических конференциях между образовательными организациями Сергокалинского района и преподавателями ДГУ, ДГПУ, ДГТУ. Ежегодно с </w:t>
      </w:r>
      <w:proofErr w:type="spellStart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приезжают преподаватели, </w:t>
      </w:r>
      <w:proofErr w:type="spellStart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проводдят</w:t>
      </w:r>
      <w:proofErr w:type="spellEnd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разъяснительную работу.</w:t>
      </w:r>
    </w:p>
    <w:p w:rsidR="004B7AD7" w:rsidRPr="004B7AD7" w:rsidRDefault="004B7AD7" w:rsidP="004B7AD7">
      <w:pPr>
        <w:spacing w:after="0" w:line="228" w:lineRule="auto"/>
        <w:ind w:left="50" w:right="29"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проблемы, связанные с развитием системы поддержки детской одаренности: </w:t>
      </w:r>
    </w:p>
    <w:p w:rsidR="004B7AD7" w:rsidRPr="004B7AD7" w:rsidRDefault="004B7AD7" w:rsidP="004B7AD7">
      <w:pPr>
        <w:numPr>
          <w:ilvl w:val="0"/>
          <w:numId w:val="6"/>
        </w:numPr>
        <w:spacing w:after="0" w:line="228" w:lineRule="auto"/>
        <w:ind w:right="29" w:hanging="57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уровне системы отмечены такие затруднения как отсутствие узконаправленных программ, отсутствие мероприятий с учетом специфики детей с ОВЗ, фрагментарный характер работы с одарёнными детьми; </w:t>
      </w:r>
    </w:p>
    <w:p w:rsidR="004B7AD7" w:rsidRPr="004B7AD7" w:rsidRDefault="004B7AD7" w:rsidP="004B7AD7">
      <w:pPr>
        <w:numPr>
          <w:ilvl w:val="0"/>
          <w:numId w:val="6"/>
        </w:numPr>
        <w:tabs>
          <w:tab w:val="left" w:pos="567"/>
        </w:tabs>
        <w:spacing w:after="0" w:line="228" w:lineRule="auto"/>
        <w:ind w:right="29"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стороны обучающихся отметили отсутствие мотивации</w:t>
      </w:r>
      <w:r w:rsidRPr="004B7AD7">
        <w:rPr>
          <w:rFonts w:ascii="Times New Roman" w:eastAsia="Calibri" w:hAnsi="Times New Roman" w:cs="Times New Roman"/>
          <w:sz w:val="28"/>
          <w:szCs w:val="28"/>
        </w:rPr>
        <w:t>, большая загруженность учащихся, недопонимание учащимися значения расширения знаний по предмету</w:t>
      </w:r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4B7AD7" w:rsidRPr="004B7AD7" w:rsidRDefault="004B7AD7" w:rsidP="004B7AD7">
      <w:pPr>
        <w:numPr>
          <w:ilvl w:val="0"/>
          <w:numId w:val="6"/>
        </w:numPr>
        <w:tabs>
          <w:tab w:val="left" w:pos="567"/>
        </w:tabs>
        <w:spacing w:after="0" w:line="228" w:lineRule="auto"/>
        <w:ind w:right="29"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стороны педагогов — это перегрузка, отсутствие методической поддержки при работе по вовлечению </w:t>
      </w:r>
      <w:r w:rsidRPr="004B7A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9EB253" wp14:editId="692BF63D">
            <wp:extent cx="4573" cy="4572"/>
            <wp:effectExtent l="0" t="0" r="0" b="0"/>
            <wp:docPr id="3" name="Picture 9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4" name="Picture 95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систему работы с одаренными детьми детей с ограниченными возможностями здоровья (в частности детей с ЗПР), отсутствие методической поддержки в составлении и реализации индивидуальных маршрутов, гибких индивидуальных </w:t>
      </w:r>
      <w:r w:rsidRPr="004B7A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927C11" wp14:editId="4CAE8652">
            <wp:extent cx="4573" cy="4572"/>
            <wp:effectExtent l="0" t="0" r="0" b="0"/>
            <wp:docPr id="4" name="Picture 9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5" name="Picture 950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программ, </w:t>
      </w:r>
      <w:r w:rsidRPr="004B7AD7">
        <w:rPr>
          <w:rFonts w:ascii="Times New Roman" w:eastAsia="Calibri" w:hAnsi="Times New Roman" w:cs="Times New Roman"/>
          <w:sz w:val="28"/>
          <w:szCs w:val="28"/>
        </w:rPr>
        <w:t xml:space="preserve">нехватка времени для работы с такими детьми, </w:t>
      </w:r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B7AD7">
        <w:rPr>
          <w:rFonts w:ascii="Times New Roman" w:eastAsia="Calibri" w:hAnsi="Times New Roman" w:cs="Times New Roman"/>
          <w:sz w:val="28"/>
          <w:szCs w:val="28"/>
        </w:rPr>
        <w:t>еумение диагностировать одаренность</w:t>
      </w:r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4B7AD7" w:rsidRPr="004B7AD7" w:rsidRDefault="004B7AD7" w:rsidP="004B7AD7">
      <w:pPr>
        <w:numPr>
          <w:ilvl w:val="0"/>
          <w:numId w:val="6"/>
        </w:numPr>
        <w:tabs>
          <w:tab w:val="left" w:pos="567"/>
        </w:tabs>
        <w:spacing w:after="0" w:line="228" w:lineRule="auto"/>
        <w:ind w:hanging="5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стороны родителей — отсутствие информирования.</w:t>
      </w:r>
    </w:p>
    <w:p w:rsidR="004D072C" w:rsidRDefault="004D072C" w:rsidP="004D072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C6ACF" w:rsidRPr="004B7AD7" w:rsidRDefault="004D072C" w:rsidP="003C6ACF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AD7">
        <w:rPr>
          <w:rFonts w:ascii="Times New Roman" w:hAnsi="Times New Roman" w:cs="Times New Roman"/>
          <w:b/>
          <w:sz w:val="28"/>
          <w:szCs w:val="28"/>
        </w:rPr>
        <w:t xml:space="preserve">Адресные рекомендации для руководителей </w:t>
      </w:r>
      <w:r w:rsidR="003C6ACF" w:rsidRPr="004B7AD7">
        <w:rPr>
          <w:rFonts w:ascii="Times New Roman" w:hAnsi="Times New Roman" w:cs="Times New Roman"/>
          <w:b/>
          <w:sz w:val="28"/>
          <w:szCs w:val="28"/>
        </w:rPr>
        <w:t xml:space="preserve"> по результатам мониторинга:</w:t>
      </w:r>
    </w:p>
    <w:p w:rsidR="004B7AD7" w:rsidRPr="004B7AD7" w:rsidRDefault="004B7AD7" w:rsidP="003C6ACF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AD7" w:rsidRDefault="004B7AD7" w:rsidP="003C6AC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B7AD7" w:rsidRPr="004B7AD7" w:rsidRDefault="004B7AD7" w:rsidP="004B7AD7">
      <w:pPr>
        <w:spacing w:after="84" w:line="228" w:lineRule="auto"/>
        <w:ind w:left="50" w:right="100" w:firstLine="59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 образовательных организаций МКОУ «</w:t>
      </w:r>
      <w:proofErr w:type="spellStart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Дегвинская</w:t>
      </w:r>
      <w:proofErr w:type="spellEnd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</w:t>
      </w:r>
      <w:proofErr w:type="spellStart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Балтамахинская</w:t>
      </w:r>
      <w:proofErr w:type="spellEnd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«Ванашимахинская СОШ им. С. </w:t>
      </w:r>
      <w:proofErr w:type="spellStart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Омарова</w:t>
      </w:r>
      <w:proofErr w:type="spellEnd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МКОУ «</w:t>
      </w:r>
      <w:proofErr w:type="spellStart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Кадиркентская</w:t>
      </w:r>
      <w:proofErr w:type="spellEnd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рекомендовать изучить опыт работы образовательных организаций, представивших в 2020/2021 учебном году лучшие практики системы работы с одаренными детьми организаций МКОУ «</w:t>
      </w:r>
      <w:proofErr w:type="spellStart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Мюрегинская</w:t>
      </w:r>
      <w:proofErr w:type="spellEnd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«Сергокалинская СОШ №1», МКОУ «</w:t>
      </w:r>
      <w:proofErr w:type="spellStart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Краснопартизанская</w:t>
      </w:r>
      <w:proofErr w:type="spellEnd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«Сергокалинская СОШ </w:t>
      </w:r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№2» и активизировать работу в соответствии с критериями</w:t>
      </w:r>
      <w:proofErr w:type="gramEnd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обозначенными</w:t>
      </w:r>
      <w:proofErr w:type="gramEnd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муниципальной программе </w:t>
      </w:r>
      <w:r w:rsidRPr="004B7AD7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«Выявления, поддержки и развития, одаренных обучающихся Сергокалинского района на 2020-2025 годы».</w:t>
      </w:r>
    </w:p>
    <w:p w:rsidR="004B7AD7" w:rsidRPr="004B7AD7" w:rsidRDefault="004B7AD7" w:rsidP="004B7AD7">
      <w:pPr>
        <w:spacing w:after="0" w:line="228" w:lineRule="auto"/>
        <w:ind w:left="50" w:right="100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Методическому центру внести корректировки в план работы на 2021/2022 учебный год в соответствии с адресными рекомендациями по итогам мониторинга.</w:t>
      </w:r>
      <w:r w:rsidRPr="004B7A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65E1F44" wp14:editId="13E26E70">
            <wp:extent cx="4572" cy="4572"/>
            <wp:effectExtent l="0" t="0" r="0" b="0"/>
            <wp:docPr id="5" name="Picture 9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8" name="Picture 95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27D" w:rsidRPr="004B7AD7" w:rsidRDefault="004B7AD7" w:rsidP="004B7AD7">
      <w:pPr>
        <w:jc w:val="both"/>
        <w:rPr>
          <w:rFonts w:ascii="Times New Roman" w:hAnsi="Times New Roman" w:cs="Times New Roman"/>
          <w:sz w:val="28"/>
          <w:szCs w:val="28"/>
        </w:rPr>
      </w:pPr>
      <w:r w:rsidRPr="004B7AD7">
        <w:rPr>
          <w:rFonts w:ascii="Times New Roman" w:hAnsi="Times New Roman" w:cs="Times New Roman"/>
          <w:sz w:val="28"/>
          <w:szCs w:val="28"/>
        </w:rPr>
        <w:t>2.</w:t>
      </w:r>
      <w:r w:rsidR="003C6ACF" w:rsidRPr="004B7AD7">
        <w:rPr>
          <w:rFonts w:ascii="Times New Roman" w:hAnsi="Times New Roman" w:cs="Times New Roman"/>
          <w:sz w:val="28"/>
          <w:szCs w:val="28"/>
        </w:rPr>
        <w:t>Рекомендовать</w:t>
      </w:r>
      <w:r w:rsidR="004D072C" w:rsidRPr="004B7AD7">
        <w:rPr>
          <w:rFonts w:ascii="Times New Roman" w:hAnsi="Times New Roman" w:cs="Times New Roman"/>
          <w:sz w:val="28"/>
          <w:szCs w:val="28"/>
        </w:rPr>
        <w:t xml:space="preserve">  руководителям выше названных учреждений </w:t>
      </w:r>
      <w:r w:rsidR="002C027D" w:rsidRPr="004B7AD7">
        <w:rPr>
          <w:rFonts w:ascii="Times New Roman" w:hAnsi="Times New Roman" w:cs="Times New Roman"/>
          <w:sz w:val="28"/>
          <w:szCs w:val="28"/>
        </w:rPr>
        <w:t xml:space="preserve">  назначить педагогов,</w:t>
      </w:r>
      <w:r w:rsidR="004D072C" w:rsidRPr="004B7AD7">
        <w:rPr>
          <w:rFonts w:ascii="Times New Roman" w:hAnsi="Times New Roman" w:cs="Times New Roman"/>
          <w:sz w:val="28"/>
          <w:szCs w:val="28"/>
        </w:rPr>
        <w:t xml:space="preserve"> </w:t>
      </w:r>
      <w:r w:rsidR="002C027D" w:rsidRPr="004B7AD7">
        <w:rPr>
          <w:rFonts w:ascii="Times New Roman" w:hAnsi="Times New Roman" w:cs="Times New Roman"/>
          <w:sz w:val="28"/>
          <w:szCs w:val="28"/>
        </w:rPr>
        <w:t>ответственных за работу с одаренными детьми</w:t>
      </w:r>
      <w:r w:rsidRPr="004B7AD7">
        <w:rPr>
          <w:rFonts w:ascii="Times New Roman" w:hAnsi="Times New Roman" w:cs="Times New Roman"/>
          <w:sz w:val="28"/>
          <w:szCs w:val="28"/>
        </w:rPr>
        <w:t xml:space="preserve"> и </w:t>
      </w:r>
      <w:r w:rsidR="002C027D" w:rsidRPr="004B7AD7">
        <w:rPr>
          <w:rFonts w:ascii="Times New Roman" w:hAnsi="Times New Roman" w:cs="Times New Roman"/>
          <w:sz w:val="28"/>
          <w:szCs w:val="28"/>
        </w:rPr>
        <w:t xml:space="preserve"> разработать систему мероприятий  по работе  за работу с одаренными детьми</w:t>
      </w:r>
    </w:p>
    <w:p w:rsidR="004B7AD7" w:rsidRPr="004B7AD7" w:rsidRDefault="004B7AD7" w:rsidP="004B7AD7">
      <w:pPr>
        <w:spacing w:after="376" w:line="228" w:lineRule="auto"/>
        <w:ind w:left="50" w:right="100" w:firstLine="57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Управленческие решения</w:t>
      </w:r>
    </w:p>
    <w:p w:rsidR="004B7AD7" w:rsidRPr="004B7AD7" w:rsidRDefault="004B7AD7" w:rsidP="004B7AD7">
      <w:pPr>
        <w:numPr>
          <w:ilvl w:val="0"/>
          <w:numId w:val="7"/>
        </w:numPr>
        <w:spacing w:after="55" w:line="228" w:lineRule="auto"/>
        <w:ind w:right="10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Заслушать на совещании заместителей директоров по УР представителей МКОУ «</w:t>
      </w:r>
      <w:proofErr w:type="spellStart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Дегвинская</w:t>
      </w:r>
      <w:proofErr w:type="spellEnd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</w:t>
      </w:r>
      <w:proofErr w:type="spellStart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Балтамахинская</w:t>
      </w:r>
      <w:proofErr w:type="spellEnd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«Ванашимахинская СОШ им. С. </w:t>
      </w:r>
      <w:proofErr w:type="spellStart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Омарова</w:t>
      </w:r>
      <w:proofErr w:type="spellEnd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МКОУ «</w:t>
      </w:r>
      <w:proofErr w:type="spellStart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Кадиркентская</w:t>
      </w:r>
      <w:proofErr w:type="spellEnd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4B7AD7" w:rsidRPr="004B7AD7" w:rsidRDefault="004B7AD7" w:rsidP="004B7AD7">
      <w:pPr>
        <w:spacing w:after="55" w:line="228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исполнения адресных рекомендаций по активизации работы в соответствии с критериями, обозначенными в муниципальной программе.</w:t>
      </w:r>
    </w:p>
    <w:p w:rsidR="004B7AD7" w:rsidRDefault="004B7AD7" w:rsidP="004B7AD7">
      <w:pPr>
        <w:shd w:val="clear" w:color="auto" w:fill="FFFFFF"/>
        <w:spacing w:before="150" w:after="0" w:line="240" w:lineRule="auto"/>
        <w:jc w:val="both"/>
      </w:pPr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Заместителям директоров по УВР МКОУ «</w:t>
      </w:r>
      <w:proofErr w:type="spellStart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Мюрегинская</w:t>
      </w:r>
      <w:proofErr w:type="spellEnd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«Сергокалинская СОШ №1», МКОУ «</w:t>
      </w:r>
      <w:proofErr w:type="spellStart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Краснопартизанская</w:t>
      </w:r>
      <w:proofErr w:type="spellEnd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</w:t>
      </w:r>
    </w:p>
    <w:p w:rsidR="004B7AD7" w:rsidRDefault="004B7AD7" w:rsidP="004B7AD7"/>
    <w:p w:rsidR="004B7AD7" w:rsidRPr="004B7AD7" w:rsidRDefault="004B7AD7" w:rsidP="004B7AD7">
      <w:pPr>
        <w:pStyle w:val="2"/>
        <w:ind w:left="1212" w:right="814"/>
        <w:rPr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ru-RU"/>
        </w:rPr>
      </w:pPr>
      <w:r>
        <w:tab/>
      </w:r>
      <w:r w:rsidRPr="004B7AD7">
        <w:rPr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ru-RU"/>
        </w:rPr>
        <w:t>Анализ эффективности принятых мер</w:t>
      </w:r>
    </w:p>
    <w:p w:rsidR="004B7AD7" w:rsidRPr="004B7AD7" w:rsidRDefault="004B7AD7" w:rsidP="004B7AD7">
      <w:pPr>
        <w:spacing w:after="5" w:line="259" w:lineRule="auto"/>
        <w:ind w:left="7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E143C9" wp14:editId="54F26B5C">
            <wp:extent cx="4572" cy="9144"/>
            <wp:effectExtent l="0" t="0" r="0" b="0"/>
            <wp:docPr id="6" name="Picture 9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3" name="Picture 95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принятых мер определить по итогам мотивирующего мониторинга в конце 2021 года.</w:t>
      </w:r>
      <w:r w:rsidRPr="004B7A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0D7898" wp14:editId="66D846B1">
            <wp:extent cx="4572" cy="4571"/>
            <wp:effectExtent l="0" t="0" r="0" b="0"/>
            <wp:docPr id="7" name="Picture 9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4" name="Picture 95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AD7" w:rsidRPr="004B7AD7" w:rsidRDefault="004B7AD7" w:rsidP="004B7AD7">
      <w:pPr>
        <w:spacing w:after="4" w:line="228" w:lineRule="auto"/>
        <w:ind w:left="50" w:right="10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муниципальной рабочей группы заслушать руководителей МКОУ «</w:t>
      </w:r>
      <w:proofErr w:type="spellStart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Дегвинская</w:t>
      </w:r>
      <w:proofErr w:type="spellEnd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</w:t>
      </w:r>
      <w:proofErr w:type="spellStart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Балтамахинская</w:t>
      </w:r>
      <w:proofErr w:type="spellEnd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МКОУ «Ванашимахинская СОШ им. С. </w:t>
      </w:r>
      <w:proofErr w:type="spellStart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Омарова</w:t>
      </w:r>
      <w:proofErr w:type="spellEnd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МКОУ «</w:t>
      </w:r>
      <w:proofErr w:type="spellStart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Кадиркентская</w:t>
      </w:r>
      <w:proofErr w:type="spellEnd"/>
      <w:r w:rsidRPr="004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о результативности принятых мер по формированию системы работы с одаренными детьми.</w:t>
      </w:r>
    </w:p>
    <w:p w:rsidR="00EB6C4F" w:rsidRPr="004B7AD7" w:rsidRDefault="00EB6C4F" w:rsidP="004B7AD7">
      <w:pPr>
        <w:tabs>
          <w:tab w:val="left" w:pos="3930"/>
        </w:tabs>
      </w:pPr>
    </w:p>
    <w:sectPr w:rsidR="00EB6C4F" w:rsidRPr="004B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2FD9"/>
    <w:multiLevelType w:val="hybridMultilevel"/>
    <w:tmpl w:val="9C24929C"/>
    <w:lvl w:ilvl="0" w:tplc="2738E9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361298"/>
    <w:multiLevelType w:val="hybridMultilevel"/>
    <w:tmpl w:val="7D709B5E"/>
    <w:lvl w:ilvl="0" w:tplc="1F3A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751A24"/>
    <w:multiLevelType w:val="hybridMultilevel"/>
    <w:tmpl w:val="38685F3C"/>
    <w:lvl w:ilvl="0" w:tplc="13809020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F9C8D30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DCC2254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F2A369A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992FCBA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52A03AE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64E3BE0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CE8DF06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734ABA6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1E3A31"/>
    <w:multiLevelType w:val="multilevel"/>
    <w:tmpl w:val="5E542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3FC779CC"/>
    <w:multiLevelType w:val="hybridMultilevel"/>
    <w:tmpl w:val="C5B41BC8"/>
    <w:lvl w:ilvl="0" w:tplc="BBB499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55AE5"/>
    <w:multiLevelType w:val="hybridMultilevel"/>
    <w:tmpl w:val="9170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6604D"/>
    <w:multiLevelType w:val="hybridMultilevel"/>
    <w:tmpl w:val="E2F67596"/>
    <w:lvl w:ilvl="0" w:tplc="9424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860C74"/>
    <w:multiLevelType w:val="hybridMultilevel"/>
    <w:tmpl w:val="CD0E2AE8"/>
    <w:lvl w:ilvl="0" w:tplc="BBB49912">
      <w:start w:val="4"/>
      <w:numFmt w:val="bullet"/>
      <w:lvlText w:val="-"/>
      <w:lvlJc w:val="left"/>
      <w:pPr>
        <w:ind w:left="20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4F"/>
    <w:rsid w:val="002477D4"/>
    <w:rsid w:val="002C027D"/>
    <w:rsid w:val="003B607B"/>
    <w:rsid w:val="003C6ACF"/>
    <w:rsid w:val="004B232A"/>
    <w:rsid w:val="004B7AD7"/>
    <w:rsid w:val="004D072C"/>
    <w:rsid w:val="00630554"/>
    <w:rsid w:val="009007A5"/>
    <w:rsid w:val="009679FF"/>
    <w:rsid w:val="00BF5B8C"/>
    <w:rsid w:val="00C85AB8"/>
    <w:rsid w:val="00EB6C4F"/>
    <w:rsid w:val="00F9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0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A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6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A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B7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30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0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A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6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A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B7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30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uo22222</cp:lastModifiedBy>
  <cp:revision>24</cp:revision>
  <cp:lastPrinted>2021-09-10T07:40:00Z</cp:lastPrinted>
  <dcterms:created xsi:type="dcterms:W3CDTF">2021-09-10T06:26:00Z</dcterms:created>
  <dcterms:modified xsi:type="dcterms:W3CDTF">2021-09-10T09:16:00Z</dcterms:modified>
</cp:coreProperties>
</file>