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bookmarkStart w:id="0" w:name="_GoBack"/>
      <w:bookmarkEnd w:id="0"/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 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2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3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4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5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6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принимает на себя обязательство информироватьвыборный орган первичной профсоюзной организации о решениях органов государственного контроля (надзора),принятых по вопросам в сфере трудовых, социальных и иныхнепосредственно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днейсо дня получения работодателем решения отсоответств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 xml:space="preserve">ыборный орган первичной профсоюзной организации представляет и защищает права и интересычленов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7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 xml:space="preserve">яи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8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9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10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1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2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3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4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5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6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7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8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9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20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1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организациив письменной формене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 xml:space="preserve">м </w:t>
      </w:r>
      <w:r w:rsidR="005B2060" w:rsidRPr="00EB03E3">
        <w:lastRenderedPageBreak/>
        <w:t>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размер суточных на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</w:t>
      </w:r>
      <w:r w:rsidR="00B55783" w:rsidRPr="00671E4C">
        <w:lastRenderedPageBreak/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2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3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4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5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6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7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</w:t>
      </w:r>
      <w:r w:rsidRPr="00F22A68">
        <w:lastRenderedPageBreak/>
        <w:t xml:space="preserve">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8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9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lastRenderedPageBreak/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30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 xml:space="preserve">нных </w:t>
      </w:r>
      <w:r w:rsidR="00471714" w:rsidRPr="00AA737A">
        <w:rPr>
          <w:iCs/>
        </w:rPr>
        <w:lastRenderedPageBreak/>
        <w:t>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 xml:space="preserve">емотивированного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lastRenderedPageBreak/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1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2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D735BD" w:rsidRPr="009365B2">
        <w:t>устанавливается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lastRenderedPageBreak/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 xml:space="preserve">,поименованным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3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4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lastRenderedPageBreak/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5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6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</w:t>
      </w:r>
      <w:r w:rsidRPr="009365B2">
        <w:rPr>
          <w:sz w:val="28"/>
          <w:szCs w:val="28"/>
        </w:rPr>
        <w:lastRenderedPageBreak/>
        <w:t xml:space="preserve">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____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7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</w:t>
      </w:r>
      <w:r w:rsidRPr="007949C1">
        <w:rPr>
          <w:sz w:val="28"/>
          <w:szCs w:val="28"/>
        </w:rPr>
        <w:lastRenderedPageBreak/>
        <w:t>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8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9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CE63D3" w:rsidRPr="009365B2">
        <w:rPr>
          <w:sz w:val="28"/>
          <w:szCs w:val="28"/>
        </w:rPr>
        <w:t>определяется</w:t>
      </w:r>
      <w:r w:rsidR="00F82B9B" w:rsidRPr="00A17BBE">
        <w:rPr>
          <w:sz w:val="28"/>
          <w:szCs w:val="28"/>
        </w:rPr>
        <w:t>организацией самостоятельно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40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 xml:space="preserve">полную </w:t>
      </w:r>
      <w:r w:rsidRPr="00352666">
        <w:rPr>
          <w:sz w:val="28"/>
          <w:szCs w:val="28"/>
        </w:rPr>
        <w:lastRenderedPageBreak/>
        <w:t>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1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2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1776DD" w:rsidRPr="00521B9C">
        <w:t xml:space="preserve">детейработников </w:t>
      </w:r>
      <w:r w:rsidRPr="00521B9C">
        <w:t xml:space="preserve">– </w:t>
      </w:r>
      <w:r w:rsidR="005F6C15" w:rsidRPr="00521B9C">
        <w:t>___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3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4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5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A2348D" w:rsidRPr="009365B2">
        <w:t>трудового законодательстваи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6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7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8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9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1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2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3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4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5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A25371">
        <w:rPr>
          <w:sz w:val="28"/>
          <w:szCs w:val="28"/>
        </w:rPr>
        <w:t>Гособразования СССР от 20.08.1990 № 579</w:t>
      </w:r>
      <w:r w:rsidR="00EA74D3">
        <w:rPr>
          <w:rStyle w:val="aff1"/>
          <w:sz w:val="28"/>
          <w:szCs w:val="28"/>
        </w:rPr>
        <w:footnoteReference w:id="56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7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 xml:space="preserve">ть _______ процент(ов)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 xml:space="preserve">определить ______ процент(ов)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 xml:space="preserve">Учителям, другим педагогическим работникам, осуществляющим преподавательскую работубез занятия штатной должности помимо работы в </w:t>
      </w:r>
      <w:r w:rsidR="00D22CAB" w:rsidRPr="00A4388F">
        <w:rPr>
          <w:iCs/>
        </w:rPr>
        <w:lastRenderedPageBreak/>
        <w:t>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8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удалённости мест для занятий от светонесущей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9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60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61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2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3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4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5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7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9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70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Председатель Совета молодых педагоговвходит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1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2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3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4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75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всоответствии с Положением о служебных командировках работников,принимаемым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 xml:space="preserve">направлению работодателядля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6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7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Pr="00A75E54">
        <w:rPr>
          <w:iCs/>
          <w:sz w:val="28"/>
          <w:szCs w:val="28"/>
        </w:rPr>
        <w:t>режим работы с разделением рабочего дня на части с перерывом два и более часа (в образовательных организациях с 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8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9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80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1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4F" w:rsidRDefault="00B52E4F">
      <w:r>
        <w:separator/>
      </w:r>
    </w:p>
  </w:endnote>
  <w:endnote w:type="continuationSeparator" w:id="1">
    <w:p w:rsidR="00B52E4F" w:rsidRDefault="00B5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13" w:rsidRDefault="00CA6E18" w:rsidP="0002281E">
    <w:pPr>
      <w:pStyle w:val="a4"/>
      <w:jc w:val="right"/>
    </w:pPr>
    <w:r>
      <w:fldChar w:fldCharType="begin"/>
    </w:r>
    <w:r w:rsidR="009A4696">
      <w:instrText>PAGE   \* MERGEFORMAT</w:instrText>
    </w:r>
    <w:r>
      <w:fldChar w:fldCharType="separate"/>
    </w:r>
    <w:r w:rsidR="00765663">
      <w:rPr>
        <w:noProof/>
      </w:rPr>
      <w:t>29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4F" w:rsidRDefault="00B52E4F">
      <w:r>
        <w:separator/>
      </w:r>
    </w:p>
  </w:footnote>
  <w:footnote w:type="continuationSeparator" w:id="1">
    <w:p w:rsidR="00B52E4F" w:rsidRDefault="00B52E4F">
      <w:r>
        <w:continuationSeparator/>
      </w:r>
    </w:p>
  </w:footnote>
  <w:footnote w:id="2">
    <w:p w:rsidR="00ED4813" w:rsidRDefault="00ED4813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3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4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5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6">
    <w:p w:rsidR="00ED4813" w:rsidRDefault="00ED4813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7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8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9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10">
    <w:p w:rsidR="00ED4813" w:rsidRPr="003A5A3C" w:rsidRDefault="00ED4813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1">
    <w:p w:rsidR="00ED4813" w:rsidRPr="003008D9" w:rsidRDefault="00ED4813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ED4813" w:rsidRPr="00442FC1" w:rsidRDefault="00ED4813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2">
    <w:p w:rsidR="00ED4813" w:rsidRPr="00EB03E3" w:rsidRDefault="00ED481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3">
    <w:p w:rsidR="00ED4813" w:rsidRDefault="00ED481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4">
    <w:p w:rsidR="00ED4813" w:rsidRPr="00832D98" w:rsidRDefault="00ED481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5">
    <w:p w:rsidR="00ED4813" w:rsidRPr="00833558" w:rsidRDefault="00ED481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6">
    <w:p w:rsidR="00ED4813" w:rsidRDefault="00ED481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7">
    <w:p w:rsidR="00ED4813" w:rsidRDefault="00ED481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8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9">
    <w:p w:rsidR="00ED4813" w:rsidRDefault="00ED4813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ED4813" w:rsidRPr="00024235" w:rsidRDefault="00ED4813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ED4813" w:rsidRDefault="00ED4813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20">
    <w:p w:rsidR="00ED4813" w:rsidRDefault="00ED4813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1">
    <w:p w:rsidR="00ED4813" w:rsidRPr="00232288" w:rsidRDefault="00ED4813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2">
    <w:p w:rsidR="00ED4813" w:rsidRDefault="00ED4813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3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4">
    <w:p w:rsidR="00ED4813" w:rsidRPr="00672959" w:rsidRDefault="00ED481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5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6">
    <w:p w:rsidR="00ED4813" w:rsidRDefault="00ED481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8">
    <w:p w:rsidR="00ED4813" w:rsidRPr="00AA737A" w:rsidRDefault="00ED481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(далее- приказ №1601; приложение 1или 2 к приказу № 1601).</w:t>
      </w:r>
    </w:p>
  </w:footnote>
  <w:footnote w:id="29">
    <w:p w:rsidR="00ED4813" w:rsidRDefault="00ED481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30">
    <w:p w:rsidR="00ED4813" w:rsidRPr="007A2BBE" w:rsidRDefault="00ED481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1">
    <w:p w:rsidR="00ED4813" w:rsidRPr="00101282" w:rsidRDefault="00ED481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2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3">
    <w:p w:rsidR="00ED4813" w:rsidRDefault="00ED481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4">
    <w:p w:rsidR="00ED4813" w:rsidRPr="00717182" w:rsidRDefault="00ED481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5">
    <w:p w:rsidR="00ED4813" w:rsidRDefault="00ED481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6">
    <w:p w:rsidR="00ED4813" w:rsidRDefault="00ED4813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7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8">
    <w:p w:rsidR="00ED4813" w:rsidRDefault="00ED4813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9">
    <w:p w:rsidR="00ED4813" w:rsidRDefault="00ED4813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40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1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2">
    <w:p w:rsidR="00ED4813" w:rsidRPr="00F9421C" w:rsidRDefault="00ED4813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3">
    <w:p w:rsidR="00ED4813" w:rsidRDefault="00ED4813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4">
    <w:p w:rsidR="00ED4813" w:rsidRPr="008A73CD" w:rsidRDefault="00ED4813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5">
    <w:p w:rsidR="00ED4813" w:rsidRDefault="00ED4813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ED4813" w:rsidRDefault="00ED4813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6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7">
    <w:p w:rsidR="00ED4813" w:rsidRPr="004F42E6" w:rsidRDefault="00ED4813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8">
    <w:p w:rsidR="00ED4813" w:rsidRPr="00A2348D" w:rsidRDefault="00ED4813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9">
    <w:p w:rsidR="00ED4813" w:rsidRDefault="00ED4813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50">
    <w:p w:rsidR="00ED4813" w:rsidRDefault="00ED481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ED4813" w:rsidRDefault="00ED4813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1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2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3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4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5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6">
    <w:p w:rsidR="00ED4813" w:rsidRDefault="00ED4813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Гособразования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СССР», устанавливающий доплату до 12 процентов к ставкам заработной платы;</w:t>
      </w:r>
    </w:p>
    <w:p w:rsidR="00ED4813" w:rsidRDefault="00ED4813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7">
    <w:p w:rsidR="00ED4813" w:rsidRDefault="00ED4813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8">
    <w:p w:rsidR="00ED4813" w:rsidRPr="00241C3E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9">
    <w:p w:rsidR="00ED4813" w:rsidRDefault="00ED4813" w:rsidP="00241C3E">
      <w:pPr>
        <w:pStyle w:val="aff"/>
        <w:jc w:val="both"/>
      </w:pPr>
      <w:r>
        <w:rPr>
          <w:rStyle w:val="aff1"/>
        </w:rPr>
        <w:footnoteRef/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60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1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2">
    <w:p w:rsidR="00ED4813" w:rsidRDefault="00ED4813" w:rsidP="001626B8">
      <w:pPr>
        <w:pStyle w:val="aff"/>
        <w:jc w:val="both"/>
      </w:pPr>
      <w:r>
        <w:rPr>
          <w:rStyle w:val="aff1"/>
        </w:rPr>
        <w:footnoteRef/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3">
    <w:p w:rsidR="00ED4813" w:rsidRPr="001857A3" w:rsidRDefault="00ED4813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4">
    <w:p w:rsidR="00ED4813" w:rsidRPr="00AC41E3" w:rsidRDefault="00ED481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5">
    <w:p w:rsidR="00ED4813" w:rsidRDefault="00ED481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8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9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70">
    <w:p w:rsidR="00ED4813" w:rsidRDefault="00ED4813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1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2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3">
    <w:p w:rsidR="00ED4813" w:rsidRPr="0087545E" w:rsidRDefault="00ED481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4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5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6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7">
    <w:p w:rsidR="00ED4813" w:rsidRPr="006D0FB6" w:rsidRDefault="00ED4813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8">
    <w:p w:rsidR="00ED4813" w:rsidRDefault="00ED481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9">
    <w:p w:rsidR="00ED4813" w:rsidRPr="00DF0CA1" w:rsidRDefault="00ED481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80">
    <w:p w:rsidR="00ED4813" w:rsidRDefault="00ED481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1">
    <w:p w:rsidR="00ED4813" w:rsidRDefault="00ED481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4765B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457F"/>
    <w:rsid w:val="00765663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4696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2E4F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A6E18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17E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6AC6-7210-4E6A-A19F-00B4C118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18525</Words>
  <Characters>105597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Reanimator Extreme Edition</Company>
  <LinksUpToDate>false</LinksUpToDate>
  <CharactersWithSpaces>123875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BEST</cp:lastModifiedBy>
  <cp:revision>2</cp:revision>
  <cp:lastPrinted>2020-08-25T12:18:00Z</cp:lastPrinted>
  <dcterms:created xsi:type="dcterms:W3CDTF">2020-10-19T08:16:00Z</dcterms:created>
  <dcterms:modified xsi:type="dcterms:W3CDTF">2020-10-19T08:16:00Z</dcterms:modified>
</cp:coreProperties>
</file>